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270"/>
        <w:tblGridChange w:id="0">
          <w:tblGrid>
            <w:gridCol w:w="2730"/>
            <w:gridCol w:w="62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Tipos de Pavimentação das Áreas do Empreendimento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Áreas de abastecimento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 troca de óleo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 de descarga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 de lavagem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Efluentes Líquidos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Fontes de geração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Vazão estimada (m³/dia)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Esgoto Sanitário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Esgoto Doméstico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Troca de óleo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Lavagem de Veículos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Outros,Especificar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Caracteristicas dos Efluentes¹: Modelo para apresentação dos resultados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Parâmetro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Efluente Final (unidade)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Sólidos Suspensos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mg/l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Sólidos sedimentáveis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mg/l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Óleos e graxas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mg/l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Surfactantes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mg/l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 Outros parâmetros podem ser requeridos a critério da SEMAMA em função das particularidades de cada empreendimento.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Sistema de tratamento de efluentes Domésticos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)Tanque séptico e sumidouro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Tanque Séptico e Filtro Anaeróbico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Tanque Séptico, Filtro Anaeróbio e Sumidouro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Outro. Especificar.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Rede Pública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Efluentes Oleosos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Caixa de areia e sistema separados de água e óleo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Obs: Caso o sistema de tratamento/contenção não seja o acima especificado, citar a tecnologia utilizada.______________________________________________________________________________________________________________________________________________________________________________________________________________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Gerenciamento de resíduos classe I: Para sistemas implantados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Resíduos¹ oleosos das tocas de óleo e dos separadores de água e óleo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Coletor autorizado Responsável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Nome/Razão Social: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Município                                                   UF: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1-incluindo os resíduos da caixa retentora de areia. Caso exista um coletor exclusivo para areia, use o quadro abaixo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Resíduos sólido do fundo dos(s) separador(es) de água e óleo: para sistemas implantados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Nome/ Razão social: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Município                                                   UF: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Embalagens de óleo  Lubrificante : para sistemas implantados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Nome/ Razão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Município                                                   UF: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410"/>
        <w:gridCol w:w="1710"/>
        <w:gridCol w:w="1560"/>
        <w:gridCol w:w="1410"/>
        <w:gridCol w:w="1335"/>
        <w:gridCol w:w="1095"/>
        <w:tblGridChange w:id="0">
          <w:tblGrid>
            <w:gridCol w:w="1200"/>
            <w:gridCol w:w="1410"/>
            <w:gridCol w:w="1710"/>
            <w:gridCol w:w="1560"/>
            <w:gridCol w:w="1410"/>
            <w:gridCol w:w="1335"/>
            <w:gridCol w:w="10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Gerenciamento de Resíduos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Tipo de resíduos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Quantidade( m³ ou kg/ mês)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Classe do Resíduo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Acondicionamento 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Estocagem (C)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Tratamento ( 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Destino (E)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resíduo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(1) Resíduos de papel /papelão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(8) Resíduos metálicos ferrosos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(15) Embalagens usadas (aditivo e óleo)  </w:t>
            </w:r>
          </w:p>
        </w:tc>
      </w:tr>
      <w:tr>
        <w:trPr>
          <w:cantSplit w:val="0"/>
          <w:trHeight w:val="745.95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(2) Resíduos de vidro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(9)  Resíduos metálicos não ferrosos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(16) Outros.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(3) lâmpadas Fluorescentes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(10) Resíduos de alimentos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(4) Pilhas e baterias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(11) Resíduos de sistema de tratamento de esgoto (lodo)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(5) Resíduos Plásticos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(12) Lama areia/areia oleosa do sistema SAO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(6) Resíduos de Madeira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(13) Estopa/trapo contaminadas com óleo.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(7) Resíduos de Borracha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(14) Óleo usado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(B) Acondicionamento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(1) Tambor/Bombona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(4) Sacos Plásticos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(2) Caçamba 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(5)  Outras formas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(3) Tanque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(C) Estocagem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(1) Patio descoberto</w:t>
            </w:r>
          </w:p>
        </w:tc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(3) Outras formas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(2) depósito fechado</w:t>
            </w:r>
          </w:p>
        </w:tc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(D) Tratamento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(1) Reuso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(7) Lavagem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(2) Reciclagem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(8) Secagem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(3) Co-processamento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(9) Trituração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(4) Incineração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(10) Prensagem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(5) Compostagem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(11) Enfardamento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(6) Landfarming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(12) Outras tecnologias: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(E) Destino Final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(1) Aterro Industrial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(4) Valas com cobrimento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(2) Aterro Sanitário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(5) Outros: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Obs: </w:t>
            </w:r>
            <w:r w:rsidDel="00000000" w:rsidR="00000000" w:rsidRPr="00000000">
              <w:rPr>
                <w:rtl w:val="0"/>
              </w:rPr>
              <w:t xml:space="preserve">Caso a forma de tratamento não se encontre na listagem, descreva-a no campo outras tecnologias.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Equipamentos e Sistemas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Dados da distribuidora (s) fornecedora (s)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Razão Social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para contato: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End.p/correspondência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Telefone: ( 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Bairro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Município:                                              UF: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Casos os equipamentos e sistemas não sejam de propriedade da Distribuidoras, referenciar o proprietário, com os mesmos campos acima.</w:t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1485"/>
        <w:gridCol w:w="1020"/>
        <w:gridCol w:w="1020"/>
        <w:gridCol w:w="1425"/>
        <w:gridCol w:w="1770"/>
        <w:gridCol w:w="1350"/>
        <w:gridCol w:w="1290"/>
        <w:tblGridChange w:id="0">
          <w:tblGrid>
            <w:gridCol w:w="1065"/>
            <w:gridCol w:w="1485"/>
            <w:gridCol w:w="1020"/>
            <w:gridCol w:w="1020"/>
            <w:gridCol w:w="1425"/>
            <w:gridCol w:w="1770"/>
            <w:gridCol w:w="1350"/>
            <w:gridCol w:w="12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Tanques: Para sistema implantados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combustível¹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Volume (litros)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Tipo de tanque²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Ano de Instalação do Tanque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Teste de estanqueidade³ (sim ou não)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Vazamento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 operação (sim ou não)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both"/>
        <w:rPr/>
      </w:pPr>
      <w:r w:rsidDel="00000000" w:rsidR="00000000" w:rsidRPr="00000000">
        <w:rPr>
          <w:rtl w:val="0"/>
        </w:rPr>
        <w:t xml:space="preserve">1/Tipo De Combustível:preencher com código conforme tabela abaixo.Caso o tanque tenha três compartimentos, adapte simbologia, por exemplo: gasolina, álcool e gasolina use o símbolo GAG;</w:t>
      </w:r>
    </w:p>
    <w:p w:rsidR="00000000" w:rsidDel="00000000" w:rsidP="00000000" w:rsidRDefault="00000000" w:rsidRPr="00000000" w14:paraId="000001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/>
      </w:pPr>
      <w:r w:rsidDel="00000000" w:rsidR="00000000" w:rsidRPr="00000000">
        <w:rPr>
          <w:rtl w:val="0"/>
        </w:rPr>
        <w:t xml:space="preserve">2/Tipo Tanque:é um código,ver tabela anexa.</w:t>
      </w:r>
    </w:p>
    <w:p w:rsidR="00000000" w:rsidDel="00000000" w:rsidP="00000000" w:rsidRDefault="00000000" w:rsidRPr="00000000" w14:paraId="000001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/>
      </w:pPr>
      <w:r w:rsidDel="00000000" w:rsidR="00000000" w:rsidRPr="00000000">
        <w:rPr>
          <w:rtl w:val="0"/>
        </w:rPr>
        <w:t xml:space="preserve">3 e 4/ Caso tenhas ido realizado teste de estanqueidade ou se houve vazamento informar a época no formato“mês/ano”, por exemplo: 07/06, para julho de 2006.</w:t>
      </w:r>
    </w:p>
    <w:p w:rsidR="00000000" w:rsidDel="00000000" w:rsidP="00000000" w:rsidRDefault="00000000" w:rsidRPr="00000000" w14:paraId="000001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Tipo de combustível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Álcool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Gasolina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Diesel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Querosene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Álcool + gasolina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Álcool + Diesel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Álcool + querosene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Gasolina+Diesel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Gasolina+Querosene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Diesel + Querosene</w:t>
            </w:r>
          </w:p>
        </w:tc>
      </w:tr>
    </w:tbl>
    <w:p w:rsidR="00000000" w:rsidDel="00000000" w:rsidP="00000000" w:rsidRDefault="00000000" w:rsidRPr="00000000" w14:paraId="000001D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5790"/>
        <w:gridCol w:w="1890"/>
        <w:tblGridChange w:id="0">
          <w:tblGrid>
            <w:gridCol w:w="1335"/>
            <w:gridCol w:w="5790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Tipo de tanque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Volume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 desconhecido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 de aço carbono-ABNT-NBR 190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 subterrâneo de resina termofixa reforçada com fibra- parede simples- ABNT-NBR 12312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 Tanque não compartimentado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IDEM:Tanque compartimentado (15.000+15000L)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 subterrâneo de resina termofixa reforçada com fibra-parede dupla-ABNT-NBR12312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 Tanque não compartimentado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IDEM:Tanque compartimentado (15.000+15000L)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 atmosferico subterraneo em aço carbono-ABNT-NBR 12312- parede simples com revestimento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 Tanque compartimento (15.000+15000 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Tanque atmosférico subterrâneo de aço carbono de parede dupla metálica -ABNT-NBR13785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 Tanque compartimento (15.000+15000 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Tanque atmosférico subterrâneo de aço carbono de parede dupla não metálica -ABNT-NBR 13785 (Tanque Jateado)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IDEM: Tanque compartimento (15.000+15000 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Outros-especificar abaixo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Tipo: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230"/>
        <w:gridCol w:w="1275"/>
        <w:gridCol w:w="1275"/>
        <w:gridCol w:w="1140"/>
        <w:gridCol w:w="1695"/>
        <w:gridCol w:w="1350"/>
        <w:tblGridChange w:id="0">
          <w:tblGrid>
            <w:gridCol w:w="1275"/>
            <w:gridCol w:w="1230"/>
            <w:gridCol w:w="1275"/>
            <w:gridCol w:w="1275"/>
            <w:gridCol w:w="1140"/>
            <w:gridCol w:w="1695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Unidade de Abastecimento (Bomba): para sistemas implantados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Ligada ao tanque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 da linha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dde Instalação da Linha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Ligada  a filtro? ( sim ou não)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de teste de estanqueidade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Vazamento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both"/>
        <w:rPr/>
      </w:pPr>
      <w:r w:rsidDel="00000000" w:rsidR="00000000" w:rsidRPr="00000000">
        <w:rPr>
          <w:rtl w:val="0"/>
        </w:rPr>
        <w:t xml:space="preserve">1/ Caso tenha sido realizado teste de estanqueidade ou se houve vazamento informar a época no formato “mês/ano”.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A">
    <w:pPr>
      <w:pBdr>
        <w:top w:color="000000" w:space="1" w:sz="4" w:val="single"/>
      </w:pBdr>
      <w:spacing w:line="240" w:lineRule="auto"/>
      <w:ind w:hanging="567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Rua Paschoal Marques N° 120 – Centro – CEP 29620-000 – Itarana/ES – Tel.: (27) 3720-1666</w:t>
    </w:r>
  </w:p>
  <w:p w:rsidR="00000000" w:rsidDel="00000000" w:rsidP="00000000" w:rsidRDefault="00000000" w:rsidRPr="00000000" w14:paraId="0000024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880000" cy="14851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