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i/>
          <w:sz w:val="28"/>
          <w:szCs w:val="28"/>
        </w:rPr>
      </w:pPr>
      <w:r w:rsidRPr="006F2483">
        <w:rPr>
          <w:rFonts w:ascii="Arial" w:hAnsi="Arial" w:cs="Arial"/>
          <w:b/>
          <w:sz w:val="28"/>
          <w:szCs w:val="28"/>
        </w:rPr>
        <w:t xml:space="preserve">MEMORIAL DESCRITIVO DA REFORMA </w:t>
      </w:r>
      <w:r w:rsidR="00F505B2">
        <w:rPr>
          <w:rFonts w:ascii="Arial" w:hAnsi="Arial" w:cs="Arial"/>
          <w:b/>
          <w:sz w:val="28"/>
          <w:szCs w:val="28"/>
        </w:rPr>
        <w:t>DA</w:t>
      </w:r>
      <w:r w:rsidRPr="006F2483">
        <w:rPr>
          <w:rFonts w:ascii="Arial" w:hAnsi="Arial" w:cs="Arial"/>
          <w:b/>
          <w:sz w:val="28"/>
          <w:szCs w:val="28"/>
        </w:rPr>
        <w:t xml:space="preserve"> “E.M.E.</w:t>
      </w:r>
      <w:r w:rsidR="00A401A9">
        <w:rPr>
          <w:rFonts w:ascii="Arial" w:hAnsi="Arial" w:cs="Arial"/>
          <w:b/>
          <w:sz w:val="28"/>
          <w:szCs w:val="28"/>
        </w:rPr>
        <w:t>I.E.</w:t>
      </w:r>
      <w:r w:rsidRPr="006F2483">
        <w:rPr>
          <w:rFonts w:ascii="Arial" w:hAnsi="Arial" w:cs="Arial"/>
          <w:b/>
          <w:sz w:val="28"/>
          <w:szCs w:val="28"/>
        </w:rPr>
        <w:t>F. LUIZA GRIMALDI”</w:t>
      </w: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AA0B26" w:rsidRDefault="00516DC5" w:rsidP="006F2483">
      <w:pPr>
        <w:spacing w:after="0" w:line="360" w:lineRule="auto"/>
        <w:contextualSpacing/>
        <w:jc w:val="center"/>
        <w:rPr>
          <w:rFonts w:ascii="Arial" w:hAnsi="Arial" w:cs="Arial"/>
          <w:b/>
          <w:sz w:val="24"/>
          <w:szCs w:val="24"/>
        </w:rPr>
      </w:pPr>
      <w:r w:rsidRPr="00AA0B26">
        <w:rPr>
          <w:rFonts w:ascii="Arial" w:hAnsi="Arial" w:cs="Arial"/>
          <w:b/>
          <w:sz w:val="24"/>
          <w:szCs w:val="24"/>
        </w:rPr>
        <w:t>ITARANA-ES</w:t>
      </w:r>
    </w:p>
    <w:p w:rsidR="006F2483" w:rsidRPr="00AA0B26" w:rsidRDefault="006F2483" w:rsidP="006F2483">
      <w:pPr>
        <w:spacing w:after="0" w:line="360" w:lineRule="auto"/>
        <w:contextualSpacing/>
        <w:jc w:val="center"/>
        <w:rPr>
          <w:rFonts w:ascii="Arial" w:hAnsi="Arial" w:cs="Arial"/>
          <w:b/>
          <w:sz w:val="24"/>
          <w:szCs w:val="24"/>
        </w:rPr>
      </w:pPr>
      <w:r w:rsidRPr="00AA0B26">
        <w:rPr>
          <w:rFonts w:ascii="Arial" w:hAnsi="Arial" w:cs="Arial"/>
          <w:b/>
          <w:sz w:val="24"/>
          <w:szCs w:val="24"/>
        </w:rPr>
        <w:t>2019</w:t>
      </w:r>
    </w:p>
    <w:p w:rsidR="00516DC5" w:rsidRPr="006F2483" w:rsidRDefault="00516DC5" w:rsidP="006F2483">
      <w:pPr>
        <w:spacing w:after="0" w:line="360" w:lineRule="auto"/>
        <w:contextualSpacing/>
        <w:jc w:val="center"/>
        <w:rPr>
          <w:rFonts w:ascii="Arial" w:hAnsi="Arial" w:cs="Arial"/>
          <w:b/>
          <w:sz w:val="24"/>
          <w:szCs w:val="24"/>
        </w:rPr>
      </w:pPr>
      <w:r w:rsidRPr="006F2483">
        <w:rPr>
          <w:rFonts w:ascii="Arial" w:hAnsi="Arial" w:cs="Arial"/>
          <w:b/>
          <w:sz w:val="24"/>
          <w:szCs w:val="24"/>
        </w:rPr>
        <w:lastRenderedPageBreak/>
        <w:t>MEMORIAL DESCRITIVO</w:t>
      </w:r>
    </w:p>
    <w:p w:rsidR="00516DC5" w:rsidRPr="006F2483" w:rsidRDefault="00516DC5" w:rsidP="006F2483">
      <w:pPr>
        <w:spacing w:after="0" w:line="360" w:lineRule="auto"/>
        <w:contextualSpacing/>
        <w:jc w:val="both"/>
        <w:rPr>
          <w:rFonts w:ascii="Arial" w:hAnsi="Arial" w:cs="Arial"/>
          <w:b/>
          <w:sz w:val="24"/>
          <w:szCs w:val="24"/>
        </w:rPr>
      </w:pPr>
    </w:p>
    <w:p w:rsidR="00516DC5" w:rsidRPr="006F2483" w:rsidRDefault="00516DC5" w:rsidP="006F2483">
      <w:pPr>
        <w:spacing w:after="0" w:line="360" w:lineRule="auto"/>
        <w:contextualSpacing/>
        <w:jc w:val="both"/>
        <w:rPr>
          <w:rFonts w:ascii="Arial" w:hAnsi="Arial" w:cs="Arial"/>
          <w:sz w:val="24"/>
          <w:szCs w:val="24"/>
        </w:rPr>
      </w:pPr>
      <w:r w:rsidRPr="006F2483">
        <w:rPr>
          <w:rFonts w:ascii="Arial" w:hAnsi="Arial" w:cs="Arial"/>
          <w:b/>
          <w:sz w:val="24"/>
          <w:szCs w:val="24"/>
        </w:rPr>
        <w:t>Projeto</w:t>
      </w:r>
      <w:r w:rsidRPr="006F2483">
        <w:rPr>
          <w:rFonts w:ascii="Arial" w:hAnsi="Arial" w:cs="Arial"/>
          <w:sz w:val="24"/>
          <w:szCs w:val="24"/>
        </w:rPr>
        <w:t>: Execução da obra de reforma da “E.M.E.</w:t>
      </w:r>
      <w:r w:rsidR="00AA0B26">
        <w:rPr>
          <w:rFonts w:ascii="Arial" w:hAnsi="Arial" w:cs="Arial"/>
          <w:sz w:val="24"/>
          <w:szCs w:val="24"/>
        </w:rPr>
        <w:t>I.E.</w:t>
      </w:r>
      <w:r w:rsidRPr="006F2483">
        <w:rPr>
          <w:rFonts w:ascii="Arial" w:hAnsi="Arial" w:cs="Arial"/>
          <w:sz w:val="24"/>
          <w:szCs w:val="24"/>
        </w:rPr>
        <w:t>F. Luiza Grimaldi”</w:t>
      </w:r>
    </w:p>
    <w:p w:rsidR="00AA0B26" w:rsidRDefault="00516DC5" w:rsidP="006F2483">
      <w:pPr>
        <w:spacing w:after="0" w:line="360" w:lineRule="auto"/>
        <w:contextualSpacing/>
        <w:jc w:val="both"/>
        <w:rPr>
          <w:rFonts w:ascii="Arial" w:hAnsi="Arial" w:cs="Arial"/>
          <w:sz w:val="24"/>
          <w:szCs w:val="24"/>
        </w:rPr>
      </w:pPr>
      <w:r w:rsidRPr="006F2483">
        <w:rPr>
          <w:rFonts w:ascii="Arial" w:hAnsi="Arial" w:cs="Arial"/>
          <w:b/>
          <w:sz w:val="24"/>
          <w:szCs w:val="24"/>
        </w:rPr>
        <w:t>Proprietário</w:t>
      </w:r>
      <w:r w:rsidRPr="006F2483">
        <w:rPr>
          <w:rFonts w:ascii="Arial" w:hAnsi="Arial" w:cs="Arial"/>
          <w:sz w:val="24"/>
          <w:szCs w:val="24"/>
        </w:rPr>
        <w:t>: Prefeitura Municipal de Itarana</w:t>
      </w:r>
    </w:p>
    <w:p w:rsidR="00516DC5" w:rsidRPr="006F2483" w:rsidRDefault="00516DC5" w:rsidP="006F2483">
      <w:pPr>
        <w:spacing w:after="0" w:line="360" w:lineRule="auto"/>
        <w:contextualSpacing/>
        <w:jc w:val="both"/>
        <w:rPr>
          <w:rFonts w:ascii="Arial" w:hAnsi="Arial" w:cs="Arial"/>
          <w:sz w:val="24"/>
          <w:szCs w:val="24"/>
        </w:rPr>
      </w:pPr>
      <w:r w:rsidRPr="006F2483">
        <w:rPr>
          <w:rFonts w:ascii="Arial" w:hAnsi="Arial" w:cs="Arial"/>
          <w:b/>
          <w:sz w:val="24"/>
          <w:szCs w:val="24"/>
        </w:rPr>
        <w:t>Localização</w:t>
      </w:r>
      <w:r w:rsidRPr="006F2483">
        <w:rPr>
          <w:rFonts w:ascii="Arial" w:hAnsi="Arial" w:cs="Arial"/>
          <w:sz w:val="24"/>
          <w:szCs w:val="24"/>
        </w:rPr>
        <w:t xml:space="preserve">: </w:t>
      </w:r>
      <w:r w:rsidR="00F505B2">
        <w:rPr>
          <w:rFonts w:ascii="Arial" w:hAnsi="Arial" w:cs="Arial"/>
          <w:sz w:val="24"/>
          <w:szCs w:val="24"/>
        </w:rPr>
        <w:t>Rua Valentim De Martim, S/N - Centro</w:t>
      </w:r>
      <w:r w:rsidRPr="006F2483">
        <w:rPr>
          <w:rFonts w:ascii="Arial" w:hAnsi="Arial" w:cs="Arial"/>
          <w:sz w:val="24"/>
          <w:szCs w:val="24"/>
        </w:rPr>
        <w:t>, Itarana</w:t>
      </w:r>
      <w:r w:rsidR="00AA0B26">
        <w:rPr>
          <w:rFonts w:ascii="Arial" w:hAnsi="Arial" w:cs="Arial"/>
          <w:sz w:val="24"/>
          <w:szCs w:val="24"/>
        </w:rPr>
        <w:t>, Espírito Santo</w:t>
      </w:r>
    </w:p>
    <w:p w:rsidR="00516DC5" w:rsidRPr="006F2483" w:rsidRDefault="00516DC5" w:rsidP="006F2483">
      <w:pPr>
        <w:pStyle w:val="Ttulo1"/>
        <w:spacing w:line="360" w:lineRule="auto"/>
        <w:jc w:val="both"/>
        <w:rPr>
          <w:rFonts w:ascii="Arial" w:hAnsi="Arial" w:cs="Arial"/>
          <w:b/>
          <w:color w:val="auto"/>
          <w:sz w:val="24"/>
          <w:szCs w:val="24"/>
        </w:rPr>
      </w:pPr>
      <w:bookmarkStart w:id="0" w:name="_Toc534701367"/>
      <w:bookmarkStart w:id="1" w:name="_Toc10550685"/>
      <w:r w:rsidRPr="006F2483">
        <w:rPr>
          <w:rFonts w:ascii="Arial" w:hAnsi="Arial" w:cs="Arial"/>
          <w:b/>
          <w:color w:val="auto"/>
          <w:sz w:val="24"/>
          <w:szCs w:val="24"/>
        </w:rPr>
        <w:t>1 - IDENTIFICAÇÃO</w:t>
      </w:r>
      <w:bookmarkEnd w:id="0"/>
      <w:bookmarkEnd w:id="1"/>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 xml:space="preserve">O presente Memorial tem como objetivo especificar os materiais e técnicas referentes à Reforma </w:t>
      </w:r>
      <w:r w:rsidR="00F505B2">
        <w:rPr>
          <w:rFonts w:ascii="Arial" w:hAnsi="Arial" w:cs="Arial"/>
          <w:sz w:val="24"/>
          <w:szCs w:val="24"/>
        </w:rPr>
        <w:t xml:space="preserve">da </w:t>
      </w:r>
      <w:r w:rsidR="001431B5">
        <w:rPr>
          <w:rFonts w:ascii="Arial" w:hAnsi="Arial" w:cs="Arial"/>
          <w:sz w:val="24"/>
          <w:szCs w:val="24"/>
        </w:rPr>
        <w:t>Escola Municipal de Educação Infantil e Ensino Fundamental</w:t>
      </w:r>
      <w:r w:rsidRPr="006F2483">
        <w:rPr>
          <w:rFonts w:ascii="Arial" w:hAnsi="Arial" w:cs="Arial"/>
          <w:sz w:val="24"/>
          <w:szCs w:val="24"/>
        </w:rPr>
        <w:t xml:space="preserve"> Luiza Grimaldi, localizada à Rua </w:t>
      </w:r>
      <w:r w:rsidR="00F505B2">
        <w:rPr>
          <w:rFonts w:ascii="Arial" w:hAnsi="Arial" w:cs="Arial"/>
          <w:sz w:val="24"/>
          <w:szCs w:val="24"/>
        </w:rPr>
        <w:t>Valentim De Martim</w:t>
      </w:r>
      <w:r w:rsidRPr="006F2483">
        <w:rPr>
          <w:rFonts w:ascii="Arial" w:hAnsi="Arial" w:cs="Arial"/>
          <w:sz w:val="24"/>
          <w:szCs w:val="24"/>
        </w:rPr>
        <w:t xml:space="preserve">, </w:t>
      </w:r>
      <w:r w:rsidR="00F505B2">
        <w:rPr>
          <w:rFonts w:ascii="Arial" w:hAnsi="Arial" w:cs="Arial"/>
          <w:sz w:val="24"/>
          <w:szCs w:val="24"/>
        </w:rPr>
        <w:t xml:space="preserve">S/N, </w:t>
      </w:r>
      <w:r w:rsidRPr="006F2483">
        <w:rPr>
          <w:rFonts w:ascii="Arial" w:hAnsi="Arial" w:cs="Arial"/>
          <w:sz w:val="24"/>
          <w:szCs w:val="24"/>
        </w:rPr>
        <w:t>Centro, Itarana, Espírito Santo.</w:t>
      </w:r>
    </w:p>
    <w:p w:rsidR="00516DC5" w:rsidRPr="006F2483" w:rsidRDefault="00516DC5" w:rsidP="006F2483">
      <w:pPr>
        <w:pStyle w:val="Ttulo1"/>
        <w:spacing w:line="360" w:lineRule="auto"/>
        <w:jc w:val="both"/>
        <w:rPr>
          <w:rFonts w:ascii="Arial" w:hAnsi="Arial" w:cs="Arial"/>
          <w:b/>
          <w:color w:val="auto"/>
          <w:sz w:val="24"/>
          <w:szCs w:val="24"/>
        </w:rPr>
      </w:pPr>
      <w:bookmarkStart w:id="2" w:name="_Toc534701368"/>
      <w:bookmarkStart w:id="3" w:name="_Toc10550686"/>
      <w:r w:rsidRPr="006F2483">
        <w:rPr>
          <w:rFonts w:ascii="Arial" w:hAnsi="Arial" w:cs="Arial"/>
          <w:b/>
          <w:color w:val="auto"/>
          <w:sz w:val="24"/>
          <w:szCs w:val="24"/>
        </w:rPr>
        <w:t>2 - CONSIDERAÇÕES GERAIS</w:t>
      </w:r>
      <w:bookmarkEnd w:id="2"/>
      <w:bookmarkEnd w:id="3"/>
      <w:r w:rsidRPr="006F2483">
        <w:rPr>
          <w:rFonts w:ascii="Arial" w:hAnsi="Arial" w:cs="Arial"/>
          <w:b/>
          <w:color w:val="auto"/>
          <w:sz w:val="24"/>
          <w:szCs w:val="24"/>
        </w:rPr>
        <w:t xml:space="preserve"> </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Quando houver dúvidas nos projetos, nas especificações, no memorial deverá ser consultada a FISCALIZAÇÃO e aos projetistas para as definições finais.</w:t>
      </w:r>
    </w:p>
    <w:p w:rsidR="00516DC5" w:rsidRPr="006F2483" w:rsidRDefault="00516DC5" w:rsidP="006F2483">
      <w:pPr>
        <w:spacing w:after="0" w:line="360" w:lineRule="auto"/>
        <w:contextualSpacing/>
        <w:jc w:val="both"/>
        <w:rPr>
          <w:rFonts w:ascii="Arial" w:hAnsi="Arial" w:cs="Arial"/>
          <w:b/>
          <w:sz w:val="24"/>
          <w:szCs w:val="24"/>
        </w:rPr>
      </w:pPr>
    </w:p>
    <w:p w:rsidR="00516DC5" w:rsidRPr="006F2483" w:rsidRDefault="00516DC5" w:rsidP="006F2483">
      <w:pPr>
        <w:pStyle w:val="Ttulo1"/>
        <w:spacing w:line="360" w:lineRule="auto"/>
        <w:jc w:val="both"/>
        <w:rPr>
          <w:rFonts w:ascii="Arial" w:hAnsi="Arial" w:cs="Arial"/>
          <w:b/>
          <w:color w:val="auto"/>
          <w:sz w:val="24"/>
          <w:szCs w:val="24"/>
        </w:rPr>
      </w:pPr>
      <w:bookmarkStart w:id="4" w:name="_Toc534701369"/>
      <w:bookmarkStart w:id="5" w:name="_Toc10550687"/>
      <w:r w:rsidRPr="006F2483">
        <w:rPr>
          <w:rFonts w:ascii="Arial" w:hAnsi="Arial" w:cs="Arial"/>
          <w:b/>
          <w:color w:val="auto"/>
          <w:sz w:val="24"/>
          <w:szCs w:val="24"/>
        </w:rPr>
        <w:t>3 – OBSERVAÇÕES GERAIS</w:t>
      </w:r>
      <w:bookmarkEnd w:id="4"/>
      <w:bookmarkEnd w:id="5"/>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6" w:name="_Toc534701370"/>
      <w:bookmarkStart w:id="7" w:name="_Toc10550688"/>
      <w:r w:rsidRPr="006F2483">
        <w:rPr>
          <w:rFonts w:ascii="Arial" w:hAnsi="Arial" w:cs="Arial"/>
          <w:b/>
          <w:color w:val="auto"/>
          <w:sz w:val="24"/>
          <w:szCs w:val="24"/>
        </w:rPr>
        <w:t>3.1 – Execução e controle</w:t>
      </w:r>
      <w:bookmarkEnd w:id="6"/>
      <w:bookmarkEnd w:id="7"/>
    </w:p>
    <w:p w:rsidR="00516DC5" w:rsidRPr="006F2483" w:rsidRDefault="00516DC5" w:rsidP="006F2483">
      <w:pPr>
        <w:pStyle w:val="Ttulo3"/>
        <w:spacing w:line="360" w:lineRule="auto"/>
        <w:ind w:firstLine="709"/>
        <w:jc w:val="both"/>
        <w:rPr>
          <w:rFonts w:ascii="Arial" w:hAnsi="Arial" w:cs="Arial"/>
          <w:b/>
          <w:color w:val="auto"/>
        </w:rPr>
      </w:pPr>
      <w:bookmarkStart w:id="8" w:name="_Toc534701371"/>
      <w:bookmarkStart w:id="9" w:name="_Toc10550689"/>
      <w:r w:rsidRPr="006F2483">
        <w:rPr>
          <w:rFonts w:ascii="Arial" w:hAnsi="Arial" w:cs="Arial"/>
          <w:b/>
          <w:color w:val="auto"/>
        </w:rPr>
        <w:t>3.1.1 – Responsabilidades</w:t>
      </w:r>
      <w:bookmarkEnd w:id="8"/>
      <w:bookmarkEnd w:id="9"/>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 xml:space="preserve">Fica reservada a PREFEITURA MUNICIPAL DE ITARANA-ES, neste ato representado pelo SETOR DE ENGENHARIA E PROJETOS, o direito e a autoridade, para resolver todo e qualquer caso singular e porventura omisso neste memorial, e nos </w:t>
      </w:r>
      <w:r w:rsidRPr="006F2483">
        <w:rPr>
          <w:rFonts w:ascii="Arial" w:hAnsi="Arial" w:cs="Arial"/>
          <w:sz w:val="24"/>
          <w:szCs w:val="24"/>
        </w:rPr>
        <w:lastRenderedPageBreak/>
        <w:t>demais e que não seja definido em outros documentos contratuais, como o próprio contrato ou outros elementos fornecidos.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 xml:space="preserve">As especificações, os desenhos dos projetos e o memorial descritivo destinam-se a descrição e a execução dos serviços completamente acabados nos termos deste </w:t>
      </w:r>
      <w:r w:rsidRPr="006F2483">
        <w:rPr>
          <w:rFonts w:ascii="Arial" w:hAnsi="Arial" w:cs="Arial"/>
          <w:sz w:val="24"/>
          <w:szCs w:val="24"/>
        </w:rPr>
        <w:lastRenderedPageBreak/>
        <w:t>memorial e objeto da contratação, e com todos os elementos em perfeito funcionamento, de primeira qualidade e bom acabamento. Portanto, estes elementos devem ser considerados complementares entre si, e o que constar de um dos documentos é tão obrigatório como se constasse em todos os demais.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A CONTRATADA aceita e concorda que os serviços</w:t>
      </w:r>
      <w:r w:rsidR="00C9672F">
        <w:rPr>
          <w:rFonts w:ascii="Arial" w:hAnsi="Arial" w:cs="Arial"/>
          <w:sz w:val="24"/>
          <w:szCs w:val="24"/>
        </w:rPr>
        <w:t>,</w:t>
      </w:r>
      <w:r w:rsidRPr="006F2483">
        <w:rPr>
          <w:rFonts w:ascii="Arial" w:hAnsi="Arial" w:cs="Arial"/>
          <w:sz w:val="24"/>
          <w:szCs w:val="24"/>
        </w:rPr>
        <w:t xml:space="preserve"> objeto dos documentos contratuais</w:t>
      </w:r>
      <w:r w:rsidR="00C9672F">
        <w:rPr>
          <w:rFonts w:ascii="Arial" w:hAnsi="Arial" w:cs="Arial"/>
          <w:sz w:val="24"/>
          <w:szCs w:val="24"/>
        </w:rPr>
        <w:t>,</w:t>
      </w:r>
      <w:r w:rsidRPr="006F2483">
        <w:rPr>
          <w:rFonts w:ascii="Arial" w:hAnsi="Arial" w:cs="Arial"/>
          <w:sz w:val="24"/>
          <w:szCs w:val="24"/>
        </w:rPr>
        <w:t xml:space="preserve"> deverão ser complementados em todos os detalhes ainda que cada item necessariamente envolvido não seja especificamente mencionado.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O profissional residente deverá efetuar todas as correções, interpretações e compatibilizações que forem julgadas necessárias, para o término dos serviços de maneira satisfatória, sempre em conjunto com a FISCALIZAÇÃO.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A CONTRATADA deverá se necessário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deverão constar na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516DC5" w:rsidRPr="006F2483" w:rsidRDefault="00516DC5" w:rsidP="006F2483">
      <w:pPr>
        <w:spacing w:after="0" w:line="360" w:lineRule="auto"/>
        <w:ind w:firstLine="708"/>
        <w:contextualSpacing/>
        <w:jc w:val="both"/>
        <w:rPr>
          <w:rFonts w:ascii="Arial" w:hAnsi="Arial" w:cs="Arial"/>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10" w:name="_Toc534701372"/>
      <w:bookmarkStart w:id="11" w:name="_Toc10550690"/>
      <w:r w:rsidRPr="006F2483">
        <w:rPr>
          <w:rFonts w:ascii="Arial" w:hAnsi="Arial" w:cs="Arial"/>
          <w:b/>
          <w:color w:val="auto"/>
        </w:rPr>
        <w:t>3.1.2 – Acompanhamento</w:t>
      </w:r>
      <w:bookmarkEnd w:id="10"/>
      <w:bookmarkEnd w:id="11"/>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Os serviços serão fiscalizados por pessoal credenciado e designado pela PREFEITURA MUNICIPAL DE ITARANA, o qual será doravante, aqui designado FISCALIZAÇÃO.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 xml:space="preserve">Os serviços serão conduzidos por pessoal pertencente à CONTRATADA, competente e capaz de proporcionar serviços tecnicamente bem feitos e de </w:t>
      </w:r>
      <w:r w:rsidRPr="006F2483">
        <w:rPr>
          <w:rFonts w:ascii="Arial" w:hAnsi="Arial" w:cs="Arial"/>
          <w:sz w:val="24"/>
          <w:szCs w:val="24"/>
        </w:rPr>
        <w:lastRenderedPageBreak/>
        <w:t>acabamento esmerado, em número compatível com o ritmo dos serviços, para que o cronograma físico e financeiro seja cumprido à risca.</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A CONTRATADA não poderá executar, qualquer serviço que não seja autorizado pela FISCALIZAÇÃO, salvo aqueles que se caracterizem, notadamente, como de emergência e necessários ao andamento ou segurança dos serviços.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Além dos procedimentos técnicos indicados nos capítulos a seguir, terão validade contratual para todos os fins de direito, as normas editadas pela ABNT, DER, DNER, e demais normas pertinentes, direta e indiretamente relacionadas, com os materiais e serviços objetos do contrato.</w:t>
      </w:r>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No caso de serviços executados com materiais fornecidos pela CONTRATADA, que apresentarem defeitos na execução, estes serão refeitos à custa da mesma e com material e ou equipamento às suas expensas.</w:t>
      </w:r>
    </w:p>
    <w:p w:rsidR="00516DC5" w:rsidRPr="006F2483" w:rsidRDefault="00516DC5" w:rsidP="006F2483">
      <w:pPr>
        <w:spacing w:after="0" w:line="360" w:lineRule="auto"/>
        <w:ind w:firstLine="426"/>
        <w:contextualSpacing/>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12" w:name="_Toc534701373"/>
      <w:bookmarkStart w:id="13" w:name="_Toc10550691"/>
      <w:r w:rsidRPr="006F2483">
        <w:rPr>
          <w:rFonts w:ascii="Arial" w:hAnsi="Arial" w:cs="Arial"/>
          <w:b/>
          <w:color w:val="auto"/>
          <w:sz w:val="24"/>
          <w:szCs w:val="24"/>
        </w:rPr>
        <w:t>3.2 – Observações sobre materiais</w:t>
      </w:r>
      <w:bookmarkEnd w:id="12"/>
      <w:bookmarkEnd w:id="13"/>
    </w:p>
    <w:p w:rsidR="00516DC5" w:rsidRPr="006F2483" w:rsidRDefault="00516DC5" w:rsidP="006F2483">
      <w:pPr>
        <w:pStyle w:val="Ttulo3"/>
        <w:spacing w:line="360" w:lineRule="auto"/>
        <w:ind w:firstLine="709"/>
        <w:jc w:val="both"/>
        <w:rPr>
          <w:rFonts w:ascii="Arial" w:hAnsi="Arial" w:cs="Arial"/>
          <w:b/>
          <w:color w:val="auto"/>
        </w:rPr>
      </w:pPr>
      <w:bookmarkStart w:id="14" w:name="_Toc534701374"/>
      <w:bookmarkStart w:id="15" w:name="_Toc10550692"/>
      <w:r w:rsidRPr="006F2483">
        <w:rPr>
          <w:rFonts w:ascii="Arial" w:hAnsi="Arial" w:cs="Arial"/>
          <w:b/>
          <w:color w:val="auto"/>
        </w:rPr>
        <w:t>3.2.1 - Observações Gerais</w:t>
      </w:r>
      <w:bookmarkEnd w:id="14"/>
      <w:bookmarkEnd w:id="15"/>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memorial ou nas especificações gerais, e devidamente aprovado pela FISCALIZAÇÃO.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Material, equipamento ou serviço equivalente tecnicamente é aquele que apresenta as mesmas características técnicas exigidas, ou seja, de igual valor, desempenham idêntica função e se presta às mesmas condições do material, equipamento ou serviço especificado, sendo que para sua utilização deverá haver aprovação prévia da FISCALIZAÇÃO.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 xml:space="preserve">Quando houver motivos ponderáveis para a substituição de um material especificado por outro, a CONTRATADA, em tempo hábil, apresentará, por escrito, por </w:t>
      </w:r>
      <w:r w:rsidRPr="006F2483">
        <w:rPr>
          <w:rFonts w:ascii="Arial" w:hAnsi="Arial" w:cs="Arial"/>
          <w:sz w:val="24"/>
          <w:szCs w:val="24"/>
        </w:rPr>
        <w:lastRenderedPageBreak/>
        <w:t>intermédio da FISCALIZAÇÃO, a proposta de substituição, instruindo-a com as razões determinadas do pedido de orçamento comparativo, de acordo com o que reza o contrato entre as partes sobre a equivalência.</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O estudo e aprovação pela PREFEITURA, dos pedidos de substituição, só serão efetuados quando cumpridas as seguintes exigências:</w:t>
      </w:r>
    </w:p>
    <w:p w:rsidR="00516DC5" w:rsidRPr="006F2483" w:rsidRDefault="00516DC5" w:rsidP="006F2483">
      <w:pPr>
        <w:pStyle w:val="PargrafodaLista"/>
        <w:numPr>
          <w:ilvl w:val="0"/>
          <w:numId w:val="4"/>
        </w:numPr>
        <w:spacing w:after="0" w:line="360" w:lineRule="auto"/>
        <w:jc w:val="both"/>
        <w:rPr>
          <w:rFonts w:ascii="Arial" w:hAnsi="Arial" w:cs="Arial"/>
          <w:sz w:val="24"/>
          <w:szCs w:val="24"/>
        </w:rPr>
      </w:pPr>
      <w:r w:rsidRPr="006F2483">
        <w:rPr>
          <w:rFonts w:ascii="Arial" w:hAnsi="Arial" w:cs="Arial"/>
          <w:sz w:val="24"/>
          <w:szCs w:val="24"/>
        </w:rPr>
        <w:t>Declaração de que a substituição se fará sem ônus para a CONTRATANTE, no caso de materiais equivalentes.</w:t>
      </w:r>
    </w:p>
    <w:p w:rsidR="00516DC5" w:rsidRPr="006F2483" w:rsidRDefault="00516DC5" w:rsidP="006F2483">
      <w:pPr>
        <w:pStyle w:val="PargrafodaLista"/>
        <w:numPr>
          <w:ilvl w:val="0"/>
          <w:numId w:val="4"/>
        </w:numPr>
        <w:spacing w:after="0" w:line="360" w:lineRule="auto"/>
        <w:jc w:val="both"/>
        <w:rPr>
          <w:rFonts w:ascii="Arial" w:hAnsi="Arial" w:cs="Arial"/>
          <w:sz w:val="24"/>
          <w:szCs w:val="24"/>
        </w:rPr>
      </w:pPr>
      <w:r w:rsidRPr="006F2483">
        <w:rPr>
          <w:rFonts w:ascii="Arial" w:hAnsi="Arial" w:cs="Arial"/>
          <w:sz w:val="24"/>
          <w:szCs w:val="24"/>
        </w:rPr>
        <w:t>Apresentação de provas, pelo interessado, da equivalência técnica do produto proposto ao especificado, compreendendo como peça fundamental o laudo do exame comparativo dos materiais, efetuado por laboratório tecnológico idôneo, a critério da FISCALIZAÇÃO.</w:t>
      </w:r>
    </w:p>
    <w:p w:rsidR="00516DC5" w:rsidRPr="006F2483" w:rsidRDefault="00516DC5" w:rsidP="006F2483">
      <w:pPr>
        <w:pStyle w:val="PargrafodaLista"/>
        <w:numPr>
          <w:ilvl w:val="0"/>
          <w:numId w:val="4"/>
        </w:numPr>
        <w:spacing w:after="0" w:line="360" w:lineRule="auto"/>
        <w:jc w:val="both"/>
        <w:rPr>
          <w:rFonts w:ascii="Arial" w:hAnsi="Arial" w:cs="Arial"/>
          <w:sz w:val="24"/>
          <w:szCs w:val="24"/>
        </w:rPr>
      </w:pPr>
      <w:r w:rsidRPr="006F2483">
        <w:rPr>
          <w:rFonts w:ascii="Arial" w:hAnsi="Arial" w:cs="Arial"/>
          <w:sz w:val="24"/>
          <w:szCs w:val="24"/>
        </w:rPr>
        <w:t>Indicação de marca, nome de fabricante ou tipo comercial, que se destinam a definir o tipo e o padrão de qualidade requerida.</w:t>
      </w:r>
    </w:p>
    <w:p w:rsidR="00516DC5" w:rsidRPr="006F2483" w:rsidRDefault="00516DC5" w:rsidP="006F2483">
      <w:pPr>
        <w:pStyle w:val="PargrafodaLista"/>
        <w:numPr>
          <w:ilvl w:val="0"/>
          <w:numId w:val="4"/>
        </w:numPr>
        <w:spacing w:after="0" w:line="360" w:lineRule="auto"/>
        <w:jc w:val="both"/>
        <w:rPr>
          <w:rFonts w:ascii="Arial" w:hAnsi="Arial" w:cs="Arial"/>
          <w:sz w:val="24"/>
          <w:szCs w:val="24"/>
        </w:rPr>
      </w:pPr>
      <w:r w:rsidRPr="006F2483">
        <w:rPr>
          <w:rFonts w:ascii="Arial" w:hAnsi="Arial" w:cs="Arial"/>
          <w:sz w:val="24"/>
          <w:szCs w:val="24"/>
        </w:rPr>
        <w:t>A substituição do material especificado, de acordo com as normas da ABNT, só poderá ser feita quando autorizada pela FISCALIZAÇÃO e nos casos previstos no contrato.</w:t>
      </w:r>
    </w:p>
    <w:p w:rsidR="00516DC5" w:rsidRPr="006F2483" w:rsidRDefault="00516DC5" w:rsidP="006F2483">
      <w:pPr>
        <w:pStyle w:val="PargrafodaLista"/>
        <w:numPr>
          <w:ilvl w:val="0"/>
          <w:numId w:val="4"/>
        </w:numPr>
        <w:spacing w:after="0" w:line="360" w:lineRule="auto"/>
        <w:jc w:val="both"/>
        <w:rPr>
          <w:rFonts w:ascii="Arial" w:hAnsi="Arial" w:cs="Arial"/>
          <w:sz w:val="24"/>
          <w:szCs w:val="24"/>
        </w:rPr>
      </w:pPr>
      <w:r w:rsidRPr="006F2483">
        <w:rPr>
          <w:rFonts w:ascii="Arial" w:hAnsi="Arial" w:cs="Arial"/>
          <w:sz w:val="24"/>
          <w:szCs w:val="24"/>
        </w:rPr>
        <w:t>Outros casos não previstos serão resolvidos pela FISCALIZAÇÃO, depois de satisfeitas as exigências dos motivos ponderáveis ou aprovada à possibilidade de atendê-las.</w:t>
      </w:r>
    </w:p>
    <w:p w:rsidR="00516DC5" w:rsidRPr="006F2483" w:rsidRDefault="00516DC5" w:rsidP="006F2483">
      <w:pPr>
        <w:pStyle w:val="PargrafodaLista"/>
        <w:spacing w:after="0" w:line="360" w:lineRule="auto"/>
        <w:jc w:val="both"/>
        <w:rPr>
          <w:rFonts w:ascii="Arial" w:hAnsi="Arial" w:cs="Arial"/>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16" w:name="_Toc534701375"/>
      <w:bookmarkStart w:id="17" w:name="_Toc10550693"/>
      <w:r w:rsidRPr="006F2483">
        <w:rPr>
          <w:rFonts w:ascii="Arial" w:hAnsi="Arial" w:cs="Arial"/>
          <w:b/>
          <w:color w:val="auto"/>
        </w:rPr>
        <w:t>3.2.2 – Segurança geral</w:t>
      </w:r>
      <w:bookmarkEnd w:id="16"/>
      <w:bookmarkEnd w:id="17"/>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Toda a área do canteiro das obras deverá ser sinalizada, através de placas, quanto à movimentação de veículos, indicações de perigo, instalações e prevenção de acidentes.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Instalações apropriadas para combate a incêndios deverão ser previstas em todas as edificações e áreas de serviço sujeitas a incêndios, incluindo-se o canteiro de serviços, almoxarifados e adjacências.</w:t>
      </w:r>
    </w:p>
    <w:p w:rsidR="00516DC5" w:rsidRPr="006F2483" w:rsidRDefault="00516DC5" w:rsidP="006F2483">
      <w:pPr>
        <w:spacing w:after="0" w:line="360" w:lineRule="auto"/>
        <w:contextualSpacing/>
        <w:jc w:val="both"/>
        <w:rPr>
          <w:rFonts w:ascii="Arial" w:hAnsi="Arial" w:cs="Arial"/>
          <w:sz w:val="24"/>
          <w:szCs w:val="24"/>
        </w:rPr>
      </w:pPr>
      <w:r w:rsidRPr="006F2483">
        <w:rPr>
          <w:rFonts w:ascii="Arial" w:hAnsi="Arial" w:cs="Arial"/>
          <w:sz w:val="24"/>
          <w:szCs w:val="24"/>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lastRenderedPageBreak/>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Deverá ser obrigatória pelo pessoal que deverá trabalhar nos serviços, a utilização de equipamentos de segurança, como botas, capacetes, cintos de segurança, óculos e demais proteções de acordo com as Normas de Segurança do Trabalho.</w:t>
      </w:r>
    </w:p>
    <w:p w:rsidR="00516DC5" w:rsidRPr="006F2483" w:rsidRDefault="00516DC5" w:rsidP="006F2483">
      <w:pPr>
        <w:pStyle w:val="Ttulo1"/>
        <w:spacing w:line="360" w:lineRule="auto"/>
        <w:jc w:val="both"/>
        <w:rPr>
          <w:rFonts w:ascii="Arial" w:hAnsi="Arial" w:cs="Arial"/>
          <w:b/>
          <w:color w:val="auto"/>
          <w:sz w:val="24"/>
          <w:szCs w:val="24"/>
        </w:rPr>
      </w:pPr>
      <w:bookmarkStart w:id="18" w:name="_Toc534701376"/>
      <w:bookmarkStart w:id="19" w:name="_Toc10550694"/>
      <w:r w:rsidRPr="006F2483">
        <w:rPr>
          <w:rFonts w:ascii="Arial" w:hAnsi="Arial" w:cs="Arial"/>
          <w:b/>
          <w:color w:val="auto"/>
          <w:sz w:val="24"/>
          <w:szCs w:val="24"/>
        </w:rPr>
        <w:t>4 – SERVIÇOS A EXECUTAR</w:t>
      </w:r>
      <w:bookmarkEnd w:id="18"/>
      <w:bookmarkEnd w:id="19"/>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As obras descritas a seguir devem obedecer rigorosamente às normas técnicas pertinentes. Antes de se iniciar as obras, é necessária a determinação ou locação das coordenadas de projeto, assim como medidas de proteção e sinalização, quando necessárias.</w:t>
      </w:r>
    </w:p>
    <w:p w:rsidR="00516DC5" w:rsidRPr="006F2483" w:rsidRDefault="00516DC5" w:rsidP="006F2483">
      <w:pPr>
        <w:spacing w:after="0" w:line="360" w:lineRule="auto"/>
        <w:ind w:firstLine="709"/>
        <w:contextualSpacing/>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20" w:name="_Toc534701377"/>
      <w:bookmarkStart w:id="21" w:name="_Toc10550695"/>
      <w:r w:rsidRPr="006F2483">
        <w:rPr>
          <w:rFonts w:ascii="Arial" w:hAnsi="Arial" w:cs="Arial"/>
          <w:b/>
          <w:color w:val="auto"/>
          <w:sz w:val="24"/>
          <w:szCs w:val="24"/>
        </w:rPr>
        <w:t xml:space="preserve">4.1 – </w:t>
      </w:r>
      <w:bookmarkEnd w:id="20"/>
      <w:r w:rsidR="005A419A">
        <w:rPr>
          <w:rFonts w:ascii="Arial" w:hAnsi="Arial" w:cs="Arial"/>
          <w:b/>
          <w:color w:val="auto"/>
          <w:sz w:val="24"/>
          <w:szCs w:val="24"/>
        </w:rPr>
        <w:t>Demolição e retirada</w:t>
      </w:r>
      <w:bookmarkEnd w:id="21"/>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 xml:space="preserve">As linhas de abastecimento de energia elétrica, água, gás, bem como as canalizações de esgoto e águas pluviais deverão ser desligadas, respeitando as normas e determinações das empresas concessionárias de serviços públicos. Precauções especiais serão tomadas, se existirem instalações elétricas e para-raios nas proximidades. </w:t>
      </w:r>
    </w:p>
    <w:p w:rsidR="00516DC5"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Os serviços de demolição deverão ser iniciados pelas partes superiores da edificação. Deve-se</w:t>
      </w:r>
      <w:r w:rsidR="004835B2">
        <w:rPr>
          <w:rFonts w:ascii="Arial" w:hAnsi="Arial" w:cs="Arial"/>
          <w:sz w:val="24"/>
          <w:szCs w:val="24"/>
        </w:rPr>
        <w:t>,</w:t>
      </w:r>
      <w:r w:rsidRPr="006F2483">
        <w:rPr>
          <w:rFonts w:ascii="Arial" w:hAnsi="Arial" w:cs="Arial"/>
          <w:sz w:val="24"/>
          <w:szCs w:val="24"/>
        </w:rPr>
        <w:t xml:space="preserve"> em situação apropriada</w:t>
      </w:r>
      <w:r w:rsidR="004835B2">
        <w:rPr>
          <w:rFonts w:ascii="Arial" w:hAnsi="Arial" w:cs="Arial"/>
          <w:sz w:val="24"/>
          <w:szCs w:val="24"/>
        </w:rPr>
        <w:t>,</w:t>
      </w:r>
      <w:r w:rsidRPr="006F2483">
        <w:rPr>
          <w:rFonts w:ascii="Arial" w:hAnsi="Arial" w:cs="Arial"/>
          <w:sz w:val="24"/>
          <w:szCs w:val="24"/>
        </w:rPr>
        <w:t xml:space="preserve"> o emprego de calhas ou equipamentos elevatórios para a retirada da estrutura, evitando o lançamento do produto em queda livre. Os materiais provenientes da demolição, reaproveitáveis ou não, serão convenientemente removidos para locais indicados pela fiscalização. </w:t>
      </w:r>
    </w:p>
    <w:p w:rsidR="00422D78" w:rsidRPr="00422D78" w:rsidRDefault="00422D78" w:rsidP="006F2483">
      <w:pPr>
        <w:spacing w:after="0" w:line="360" w:lineRule="auto"/>
        <w:ind w:firstLine="709"/>
        <w:contextualSpacing/>
        <w:jc w:val="both"/>
        <w:rPr>
          <w:rFonts w:ascii="Arial" w:hAnsi="Arial" w:cs="Arial"/>
          <w:b/>
          <w:bCs/>
          <w:sz w:val="24"/>
          <w:szCs w:val="24"/>
          <w:u w:val="single"/>
        </w:rPr>
      </w:pPr>
      <w:r w:rsidRPr="00422D78">
        <w:rPr>
          <w:rFonts w:ascii="Arial" w:hAnsi="Arial" w:cs="Arial"/>
          <w:b/>
          <w:bCs/>
          <w:sz w:val="24"/>
          <w:szCs w:val="24"/>
          <w:u w:val="single"/>
        </w:rPr>
        <w:t>Todas as luminárias do auditório serão reaproveitadas</w:t>
      </w:r>
      <w:r>
        <w:rPr>
          <w:rFonts w:ascii="Arial" w:hAnsi="Arial" w:cs="Arial"/>
          <w:b/>
          <w:bCs/>
          <w:sz w:val="24"/>
          <w:szCs w:val="24"/>
          <w:u w:val="single"/>
        </w:rPr>
        <w:t>.</w:t>
      </w:r>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A demolição manual será executada progressivamente, utilizando ferramentas portáteis motorizadas ou manuais</w:t>
      </w:r>
      <w:r w:rsidR="00B87513">
        <w:rPr>
          <w:rFonts w:ascii="Arial" w:hAnsi="Arial" w:cs="Arial"/>
          <w:sz w:val="24"/>
          <w:szCs w:val="24"/>
        </w:rPr>
        <w:t>.</w:t>
      </w:r>
      <w:r w:rsidRPr="006F2483">
        <w:rPr>
          <w:rFonts w:ascii="Arial" w:hAnsi="Arial" w:cs="Arial"/>
          <w:sz w:val="24"/>
          <w:szCs w:val="24"/>
        </w:rPr>
        <w:t xml:space="preserve"> A demolição mecânica será executada com os equipamentos indicados para cada caso, segundo sempre as recomendações dos fabricantes dos equipamentos. As demolições reali</w:t>
      </w:r>
      <w:r w:rsidR="00B87513">
        <w:rPr>
          <w:rFonts w:ascii="Arial" w:hAnsi="Arial" w:cs="Arial"/>
          <w:sz w:val="24"/>
          <w:szCs w:val="24"/>
        </w:rPr>
        <w:t>zadas em alvenarias solidárias à</w:t>
      </w:r>
      <w:r w:rsidRPr="006F2483">
        <w:rPr>
          <w:rFonts w:ascii="Arial" w:hAnsi="Arial" w:cs="Arial"/>
          <w:sz w:val="24"/>
          <w:szCs w:val="24"/>
        </w:rPr>
        <w:t xml:space="preserve"> elementos es</w:t>
      </w:r>
      <w:r w:rsidR="00D56087">
        <w:rPr>
          <w:rFonts w:ascii="Arial" w:hAnsi="Arial" w:cs="Arial"/>
          <w:sz w:val="24"/>
          <w:szCs w:val="24"/>
        </w:rPr>
        <w:t>truturais deverão ser executadas</w:t>
      </w:r>
      <w:r w:rsidRPr="006F2483">
        <w:rPr>
          <w:rFonts w:ascii="Arial" w:hAnsi="Arial" w:cs="Arial"/>
          <w:sz w:val="24"/>
          <w:szCs w:val="24"/>
        </w:rPr>
        <w:t xml:space="preserve"> com extremo apuro técnico para se evitar danos que comprometam a sua estabilidade. </w:t>
      </w:r>
    </w:p>
    <w:p w:rsidR="00516DC5" w:rsidRPr="00D56087" w:rsidRDefault="00516DC5" w:rsidP="006F2483">
      <w:pPr>
        <w:spacing w:after="0" w:line="360" w:lineRule="auto"/>
        <w:ind w:firstLine="709"/>
        <w:contextualSpacing/>
        <w:jc w:val="both"/>
        <w:rPr>
          <w:rFonts w:ascii="Arial" w:hAnsi="Arial" w:cs="Arial"/>
          <w:b/>
          <w:sz w:val="24"/>
          <w:szCs w:val="24"/>
          <w:u w:val="single"/>
        </w:rPr>
      </w:pPr>
      <w:r w:rsidRPr="00D56087">
        <w:rPr>
          <w:rFonts w:ascii="Arial" w:hAnsi="Arial" w:cs="Arial"/>
          <w:b/>
          <w:sz w:val="24"/>
          <w:szCs w:val="24"/>
          <w:u w:val="single"/>
        </w:rPr>
        <w:lastRenderedPageBreak/>
        <w:t xml:space="preserve">Os serviços serão aceitos após a efetiva demolição definida e a posterior remoção da totalidade dos entulhos resultantes. </w:t>
      </w:r>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A execução de serviços de demolição deverá atender às especificações da NBR 5682</w:t>
      </w:r>
      <w:r w:rsidR="00447ED8">
        <w:rPr>
          <w:rFonts w:ascii="Arial" w:hAnsi="Arial" w:cs="Arial"/>
          <w:sz w:val="24"/>
          <w:szCs w:val="24"/>
        </w:rPr>
        <w:t xml:space="preserve"> (ABNT, 1977)</w:t>
      </w:r>
      <w:r w:rsidRPr="006F2483">
        <w:rPr>
          <w:rFonts w:ascii="Arial" w:hAnsi="Arial" w:cs="Arial"/>
          <w:sz w:val="24"/>
          <w:szCs w:val="24"/>
        </w:rPr>
        <w:t>, NR 18</w:t>
      </w:r>
      <w:r w:rsidR="00447ED8">
        <w:rPr>
          <w:rFonts w:ascii="Arial" w:hAnsi="Arial" w:cs="Arial"/>
          <w:sz w:val="24"/>
          <w:szCs w:val="24"/>
        </w:rPr>
        <w:t xml:space="preserve"> (ABNT, 2011)</w:t>
      </w:r>
      <w:r w:rsidRPr="006F2483">
        <w:rPr>
          <w:rFonts w:ascii="Arial" w:hAnsi="Arial" w:cs="Arial"/>
          <w:sz w:val="24"/>
          <w:szCs w:val="24"/>
        </w:rPr>
        <w:t xml:space="preserve"> e demais normas e práticas complementares.</w:t>
      </w:r>
    </w:p>
    <w:p w:rsidR="00F505B2" w:rsidRDefault="00516DC5" w:rsidP="00437134">
      <w:pPr>
        <w:spacing w:after="0" w:line="360" w:lineRule="auto"/>
        <w:ind w:firstLine="709"/>
        <w:contextualSpacing/>
        <w:jc w:val="both"/>
        <w:rPr>
          <w:rFonts w:ascii="Arial" w:hAnsi="Arial" w:cs="Arial"/>
          <w:sz w:val="24"/>
          <w:szCs w:val="24"/>
        </w:rPr>
      </w:pPr>
      <w:r w:rsidRPr="006F2483">
        <w:rPr>
          <w:rFonts w:ascii="Arial" w:hAnsi="Arial" w:cs="Arial"/>
          <w:sz w:val="24"/>
          <w:szCs w:val="24"/>
        </w:rPr>
        <w:t>Serão de responsabilidade da CONTRATADA todos os materiais, equipamentos e mão-de-obra necessários para a perfeita execução dos serviços</w:t>
      </w:r>
      <w:r w:rsidR="00437134">
        <w:rPr>
          <w:rFonts w:ascii="Arial" w:hAnsi="Arial" w:cs="Arial"/>
          <w:sz w:val="24"/>
          <w:szCs w:val="24"/>
        </w:rPr>
        <w:t>.</w:t>
      </w:r>
    </w:p>
    <w:p w:rsidR="00F505B2" w:rsidRDefault="00F505B2" w:rsidP="006F2483">
      <w:pPr>
        <w:pStyle w:val="Ttulo2"/>
        <w:spacing w:line="360" w:lineRule="auto"/>
        <w:ind w:firstLine="426"/>
        <w:jc w:val="both"/>
        <w:rPr>
          <w:rFonts w:ascii="Arial" w:hAnsi="Arial" w:cs="Arial"/>
          <w:b/>
          <w:color w:val="auto"/>
          <w:sz w:val="24"/>
          <w:szCs w:val="24"/>
        </w:rPr>
      </w:pPr>
      <w:bookmarkStart w:id="22" w:name="_Toc534701378"/>
    </w:p>
    <w:p w:rsidR="00516DC5" w:rsidRPr="006F2483" w:rsidRDefault="00516DC5" w:rsidP="00F230C5">
      <w:pPr>
        <w:pStyle w:val="Ttulo2"/>
        <w:spacing w:line="360" w:lineRule="auto"/>
        <w:jc w:val="both"/>
        <w:rPr>
          <w:rFonts w:ascii="Arial" w:hAnsi="Arial" w:cs="Arial"/>
          <w:b/>
          <w:color w:val="auto"/>
          <w:sz w:val="24"/>
          <w:szCs w:val="24"/>
        </w:rPr>
      </w:pPr>
      <w:bookmarkStart w:id="23" w:name="_Toc10550696"/>
      <w:r w:rsidRPr="006F2483">
        <w:rPr>
          <w:rFonts w:ascii="Arial" w:hAnsi="Arial" w:cs="Arial"/>
          <w:b/>
          <w:color w:val="auto"/>
          <w:sz w:val="24"/>
          <w:szCs w:val="24"/>
        </w:rPr>
        <w:t xml:space="preserve">4.2 – </w:t>
      </w:r>
      <w:bookmarkEnd w:id="22"/>
      <w:r w:rsidR="00EA3A8F">
        <w:rPr>
          <w:rFonts w:ascii="Arial" w:hAnsi="Arial" w:cs="Arial"/>
          <w:b/>
          <w:color w:val="auto"/>
          <w:sz w:val="24"/>
          <w:szCs w:val="24"/>
        </w:rPr>
        <w:t>Serviços</w:t>
      </w:r>
      <w:bookmarkEnd w:id="23"/>
    </w:p>
    <w:p w:rsidR="00F505B2" w:rsidRDefault="00516DC5" w:rsidP="00F505B2">
      <w:pPr>
        <w:pStyle w:val="Ttulo2"/>
        <w:spacing w:line="360" w:lineRule="auto"/>
        <w:ind w:firstLine="426"/>
        <w:jc w:val="both"/>
        <w:rPr>
          <w:rFonts w:ascii="Arial" w:hAnsi="Arial" w:cs="Arial"/>
          <w:b/>
          <w:color w:val="auto"/>
          <w:sz w:val="24"/>
          <w:szCs w:val="24"/>
        </w:rPr>
      </w:pPr>
      <w:bookmarkStart w:id="24" w:name="_Toc534701379"/>
      <w:bookmarkStart w:id="25" w:name="_Toc10550697"/>
      <w:r w:rsidRPr="006F2483">
        <w:rPr>
          <w:rFonts w:ascii="Arial" w:hAnsi="Arial" w:cs="Arial"/>
          <w:b/>
          <w:color w:val="auto"/>
        </w:rPr>
        <w:t xml:space="preserve">4.2.1 – </w:t>
      </w:r>
      <w:bookmarkEnd w:id="24"/>
      <w:r w:rsidR="00F505B2" w:rsidRPr="006F2483">
        <w:rPr>
          <w:rFonts w:ascii="Arial" w:hAnsi="Arial" w:cs="Arial"/>
          <w:b/>
          <w:color w:val="auto"/>
          <w:sz w:val="24"/>
          <w:szCs w:val="24"/>
        </w:rPr>
        <w:t>Cobertura</w:t>
      </w:r>
      <w:bookmarkEnd w:id="25"/>
    </w:p>
    <w:p w:rsidR="001435BA" w:rsidRDefault="001435BA" w:rsidP="001435BA">
      <w:pPr>
        <w:spacing w:after="0" w:line="360" w:lineRule="auto"/>
        <w:ind w:firstLine="426"/>
        <w:contextualSpacing/>
        <w:jc w:val="both"/>
        <w:rPr>
          <w:rFonts w:ascii="Arial" w:hAnsi="Arial" w:cs="Arial"/>
          <w:sz w:val="24"/>
          <w:szCs w:val="24"/>
        </w:rPr>
      </w:pPr>
      <w:r w:rsidRPr="001435BA">
        <w:rPr>
          <w:rFonts w:ascii="Arial" w:hAnsi="Arial" w:cs="Arial"/>
          <w:sz w:val="24"/>
          <w:szCs w:val="24"/>
        </w:rPr>
        <w:t xml:space="preserve">A execução da cobertura deverá seguir </w:t>
      </w:r>
      <w:r>
        <w:rPr>
          <w:rFonts w:ascii="Arial" w:hAnsi="Arial" w:cs="Arial"/>
          <w:sz w:val="24"/>
          <w:szCs w:val="24"/>
        </w:rPr>
        <w:t>a NBR 7196 (ABNT, 2014) –</w:t>
      </w:r>
      <w:r w:rsidRPr="001435BA">
        <w:rPr>
          <w:rFonts w:ascii="Arial" w:hAnsi="Arial" w:cs="Arial"/>
          <w:sz w:val="24"/>
          <w:szCs w:val="24"/>
        </w:rPr>
        <w:t xml:space="preserve"> Telhas de Fibrocimento – Execução de coberturas e fechamentos laterais. </w:t>
      </w:r>
    </w:p>
    <w:p w:rsidR="001435BA" w:rsidRDefault="001435BA" w:rsidP="00071384">
      <w:pPr>
        <w:spacing w:after="0" w:line="360" w:lineRule="auto"/>
        <w:ind w:firstLine="426"/>
        <w:contextualSpacing/>
        <w:jc w:val="both"/>
        <w:rPr>
          <w:rFonts w:ascii="Arial" w:hAnsi="Arial" w:cs="Arial"/>
          <w:sz w:val="24"/>
          <w:szCs w:val="24"/>
        </w:rPr>
      </w:pPr>
      <w:r>
        <w:rPr>
          <w:rFonts w:ascii="Arial" w:hAnsi="Arial" w:cs="Arial"/>
          <w:sz w:val="24"/>
          <w:szCs w:val="24"/>
        </w:rPr>
        <w:t xml:space="preserve">A instalação </w:t>
      </w:r>
      <w:r w:rsidR="00071384">
        <w:rPr>
          <w:rFonts w:ascii="Arial" w:hAnsi="Arial" w:cs="Arial"/>
          <w:sz w:val="24"/>
          <w:szCs w:val="24"/>
        </w:rPr>
        <w:t>será feita com</w:t>
      </w:r>
      <w:r w:rsidR="00071384" w:rsidRPr="00071384">
        <w:rPr>
          <w:rFonts w:ascii="Arial" w:hAnsi="Arial" w:cs="Arial"/>
          <w:sz w:val="24"/>
          <w:szCs w:val="24"/>
        </w:rPr>
        <w:t xml:space="preserve"> telhas de alumínio trapezoidal, </w:t>
      </w:r>
      <w:r w:rsidR="00071384">
        <w:rPr>
          <w:rFonts w:ascii="Arial" w:hAnsi="Arial" w:cs="Arial"/>
          <w:sz w:val="24"/>
          <w:szCs w:val="24"/>
        </w:rPr>
        <w:t xml:space="preserve">altura de </w:t>
      </w:r>
      <w:r w:rsidR="00071384" w:rsidRPr="00071384">
        <w:rPr>
          <w:rFonts w:ascii="Arial" w:hAnsi="Arial" w:cs="Arial"/>
          <w:sz w:val="24"/>
          <w:szCs w:val="24"/>
        </w:rPr>
        <w:t>8 cm, esp</w:t>
      </w:r>
      <w:r w:rsidR="00071384">
        <w:rPr>
          <w:rFonts w:ascii="Arial" w:hAnsi="Arial" w:cs="Arial"/>
          <w:sz w:val="24"/>
          <w:szCs w:val="24"/>
        </w:rPr>
        <w:t>essura de</w:t>
      </w:r>
      <w:r w:rsidR="00071384" w:rsidRPr="00071384">
        <w:rPr>
          <w:rFonts w:ascii="Arial" w:hAnsi="Arial" w:cs="Arial"/>
          <w:sz w:val="24"/>
          <w:szCs w:val="24"/>
        </w:rPr>
        <w:t xml:space="preserve"> 0</w:t>
      </w:r>
      <w:r w:rsidR="00071384">
        <w:rPr>
          <w:rFonts w:ascii="Arial" w:hAnsi="Arial" w:cs="Arial"/>
          <w:sz w:val="24"/>
          <w:szCs w:val="24"/>
        </w:rPr>
        <w:t>,</w:t>
      </w:r>
      <w:r w:rsidR="00071384" w:rsidRPr="00071384">
        <w:rPr>
          <w:rFonts w:ascii="Arial" w:hAnsi="Arial" w:cs="Arial"/>
          <w:sz w:val="24"/>
          <w:szCs w:val="24"/>
        </w:rPr>
        <w:t>5</w:t>
      </w:r>
      <w:r w:rsidR="00071384">
        <w:rPr>
          <w:rFonts w:ascii="Arial" w:hAnsi="Arial" w:cs="Arial"/>
          <w:sz w:val="24"/>
          <w:szCs w:val="24"/>
        </w:rPr>
        <w:t xml:space="preserve"> </w:t>
      </w:r>
      <w:r w:rsidR="00071384" w:rsidRPr="00071384">
        <w:rPr>
          <w:rFonts w:ascii="Arial" w:hAnsi="Arial" w:cs="Arial"/>
          <w:sz w:val="24"/>
          <w:szCs w:val="24"/>
        </w:rPr>
        <w:t xml:space="preserve">mm, </w:t>
      </w:r>
      <w:r w:rsidR="00071384">
        <w:rPr>
          <w:rFonts w:ascii="Arial" w:hAnsi="Arial" w:cs="Arial"/>
          <w:sz w:val="24"/>
          <w:szCs w:val="24"/>
        </w:rPr>
        <w:t>junto com os</w:t>
      </w:r>
      <w:r w:rsidR="00071384" w:rsidRPr="00071384">
        <w:rPr>
          <w:rFonts w:ascii="Arial" w:hAnsi="Arial" w:cs="Arial"/>
          <w:sz w:val="24"/>
          <w:szCs w:val="24"/>
        </w:rPr>
        <w:t xml:space="preserve"> acessórios de fixação</w:t>
      </w:r>
      <w:r w:rsidR="00F230C5">
        <w:rPr>
          <w:rFonts w:ascii="Arial" w:hAnsi="Arial" w:cs="Arial"/>
          <w:sz w:val="24"/>
          <w:szCs w:val="24"/>
        </w:rPr>
        <w:t>, de acordo com a imagem 1.</w:t>
      </w:r>
    </w:p>
    <w:p w:rsidR="001435BA" w:rsidRDefault="001435BA" w:rsidP="006F2483">
      <w:pPr>
        <w:pStyle w:val="Ttulo3"/>
        <w:spacing w:line="360" w:lineRule="auto"/>
        <w:ind w:firstLine="709"/>
        <w:jc w:val="both"/>
        <w:rPr>
          <w:rFonts w:ascii="Arial" w:hAnsi="Arial" w:cs="Arial"/>
          <w:b/>
          <w:color w:val="auto"/>
        </w:rPr>
      </w:pPr>
    </w:p>
    <w:p w:rsidR="00F230C5" w:rsidRPr="00F230C5" w:rsidRDefault="00F230C5" w:rsidP="00F230C5">
      <w:pPr>
        <w:jc w:val="center"/>
        <w:rPr>
          <w:rFonts w:ascii="Arial" w:hAnsi="Arial" w:cs="Arial"/>
          <w:sz w:val="24"/>
          <w:szCs w:val="24"/>
        </w:rPr>
      </w:pPr>
      <w:r w:rsidRPr="00F230C5">
        <w:rPr>
          <w:rFonts w:ascii="Arial" w:hAnsi="Arial" w:cs="Arial"/>
          <w:sz w:val="24"/>
          <w:szCs w:val="24"/>
        </w:rPr>
        <w:t>Imagem 1 – Telha de alumínio trapezoidal</w:t>
      </w:r>
    </w:p>
    <w:p w:rsidR="00F230C5" w:rsidRDefault="00F230C5" w:rsidP="00F230C5">
      <w:r>
        <w:rPr>
          <w:rFonts w:ascii="Arial" w:hAnsi="Arial" w:cs="Arial"/>
          <w:b/>
          <w:noProof/>
        </w:rPr>
        <w:drawing>
          <wp:anchor distT="0" distB="0" distL="114300" distR="114300" simplePos="0" relativeHeight="251656192" behindDoc="0" locked="0" layoutInCell="1" allowOverlap="1">
            <wp:simplePos x="0" y="0"/>
            <wp:positionH relativeFrom="column">
              <wp:posOffset>1080770</wp:posOffset>
            </wp:positionH>
            <wp:positionV relativeFrom="paragraph">
              <wp:posOffset>11430</wp:posOffset>
            </wp:positionV>
            <wp:extent cx="3600000" cy="2880000"/>
            <wp:effectExtent l="0" t="0" r="63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30C5" w:rsidRDefault="00F230C5" w:rsidP="00F230C5"/>
    <w:p w:rsidR="00F230C5" w:rsidRDefault="00F230C5" w:rsidP="00F230C5"/>
    <w:p w:rsidR="00F230C5" w:rsidRDefault="00F230C5" w:rsidP="00F230C5"/>
    <w:p w:rsidR="00F230C5" w:rsidRDefault="00F230C5" w:rsidP="00F230C5"/>
    <w:p w:rsidR="00F230C5" w:rsidRDefault="00F230C5" w:rsidP="00F230C5"/>
    <w:p w:rsidR="00F230C5" w:rsidRDefault="00F230C5" w:rsidP="00F230C5"/>
    <w:p w:rsidR="00F230C5" w:rsidRDefault="00F230C5" w:rsidP="00F230C5"/>
    <w:p w:rsidR="00F230C5" w:rsidRDefault="00F230C5" w:rsidP="00F230C5"/>
    <w:p w:rsidR="00F230C5" w:rsidRDefault="00F230C5" w:rsidP="00F230C5"/>
    <w:p w:rsidR="00F230C5" w:rsidRDefault="00F230C5" w:rsidP="00F230C5"/>
    <w:p w:rsidR="00F230C5" w:rsidRDefault="00F230C5" w:rsidP="00F230C5"/>
    <w:p w:rsidR="00F230C5" w:rsidRDefault="00F230C5" w:rsidP="00F230C5"/>
    <w:p w:rsidR="00E155B4" w:rsidRDefault="00E155B4" w:rsidP="00F230C5"/>
    <w:p w:rsidR="00516DC5" w:rsidRPr="006F2483" w:rsidRDefault="00516DC5" w:rsidP="006F2483">
      <w:pPr>
        <w:pStyle w:val="Ttulo3"/>
        <w:spacing w:line="360" w:lineRule="auto"/>
        <w:ind w:firstLine="709"/>
        <w:jc w:val="both"/>
        <w:rPr>
          <w:rFonts w:ascii="Arial" w:hAnsi="Arial" w:cs="Arial"/>
          <w:b/>
          <w:color w:val="auto"/>
        </w:rPr>
      </w:pPr>
      <w:bookmarkStart w:id="26" w:name="_Toc10550698"/>
      <w:r w:rsidRPr="006F2483">
        <w:rPr>
          <w:rFonts w:ascii="Arial" w:hAnsi="Arial" w:cs="Arial"/>
          <w:b/>
          <w:color w:val="auto"/>
        </w:rPr>
        <w:lastRenderedPageBreak/>
        <w:t xml:space="preserve">4.2.2 – </w:t>
      </w:r>
      <w:r w:rsidR="00F505B2">
        <w:rPr>
          <w:rFonts w:ascii="Arial" w:hAnsi="Arial" w:cs="Arial"/>
          <w:b/>
          <w:color w:val="auto"/>
        </w:rPr>
        <w:t xml:space="preserve">Forro </w:t>
      </w:r>
      <w:bookmarkEnd w:id="26"/>
      <w:r w:rsidR="00E155B4">
        <w:rPr>
          <w:rFonts w:ascii="Arial" w:hAnsi="Arial" w:cs="Arial"/>
          <w:b/>
          <w:color w:val="auto"/>
        </w:rPr>
        <w:t>de gesso</w:t>
      </w:r>
    </w:p>
    <w:p w:rsidR="00F505B2" w:rsidRDefault="00D00519" w:rsidP="00F505B2">
      <w:pPr>
        <w:spacing w:line="360" w:lineRule="auto"/>
        <w:ind w:firstLine="709"/>
        <w:jc w:val="both"/>
        <w:rPr>
          <w:rFonts w:ascii="Arial" w:hAnsi="Arial" w:cs="Arial"/>
          <w:sz w:val="24"/>
          <w:szCs w:val="24"/>
        </w:rPr>
      </w:pPr>
      <w:r>
        <w:rPr>
          <w:rFonts w:ascii="Arial" w:hAnsi="Arial" w:cs="Arial"/>
          <w:sz w:val="24"/>
          <w:szCs w:val="24"/>
        </w:rPr>
        <w:t>Após a total remoção do</w:t>
      </w:r>
      <w:r w:rsidR="00E155B4">
        <w:rPr>
          <w:rFonts w:ascii="Arial" w:hAnsi="Arial" w:cs="Arial"/>
          <w:sz w:val="24"/>
          <w:szCs w:val="24"/>
        </w:rPr>
        <w:t xml:space="preserve"> antigo</w:t>
      </w:r>
      <w:r>
        <w:rPr>
          <w:rFonts w:ascii="Arial" w:hAnsi="Arial" w:cs="Arial"/>
          <w:sz w:val="24"/>
          <w:szCs w:val="24"/>
        </w:rPr>
        <w:t xml:space="preserve"> forro de gesso</w:t>
      </w:r>
      <w:r w:rsidR="00E155B4">
        <w:rPr>
          <w:rFonts w:ascii="Arial" w:hAnsi="Arial" w:cs="Arial"/>
          <w:sz w:val="24"/>
          <w:szCs w:val="24"/>
        </w:rPr>
        <w:t xml:space="preserve"> em placas</w:t>
      </w:r>
      <w:r w:rsidR="00F505B2" w:rsidRPr="006F2483">
        <w:rPr>
          <w:rFonts w:ascii="Arial" w:hAnsi="Arial" w:cs="Arial"/>
          <w:sz w:val="24"/>
          <w:szCs w:val="24"/>
        </w:rPr>
        <w:t xml:space="preserve">, </w:t>
      </w:r>
      <w:r>
        <w:rPr>
          <w:rFonts w:ascii="Arial" w:hAnsi="Arial" w:cs="Arial"/>
          <w:sz w:val="24"/>
          <w:szCs w:val="24"/>
        </w:rPr>
        <w:t xml:space="preserve">o Auditório </w:t>
      </w:r>
      <w:r w:rsidR="00F505B2" w:rsidRPr="006F2483">
        <w:rPr>
          <w:rFonts w:ascii="Arial" w:hAnsi="Arial" w:cs="Arial"/>
          <w:sz w:val="24"/>
          <w:szCs w:val="24"/>
        </w:rPr>
        <w:t>receberá novo forro</w:t>
      </w:r>
      <w:r>
        <w:rPr>
          <w:rFonts w:ascii="Arial" w:hAnsi="Arial" w:cs="Arial"/>
          <w:sz w:val="24"/>
          <w:szCs w:val="24"/>
        </w:rPr>
        <w:t xml:space="preserve"> </w:t>
      </w:r>
      <w:r w:rsidR="00E155B4">
        <w:rPr>
          <w:rFonts w:ascii="Arial" w:hAnsi="Arial" w:cs="Arial"/>
          <w:sz w:val="24"/>
          <w:szCs w:val="24"/>
        </w:rPr>
        <w:t>de gesso, com acabamento do tipo liso</w:t>
      </w:r>
      <w:r w:rsidR="00F505B2" w:rsidRPr="006F2483">
        <w:rPr>
          <w:rFonts w:ascii="Arial" w:hAnsi="Arial" w:cs="Arial"/>
          <w:sz w:val="24"/>
          <w:szCs w:val="24"/>
        </w:rPr>
        <w:t xml:space="preserve">. </w:t>
      </w:r>
    </w:p>
    <w:p w:rsidR="005D5D19" w:rsidRDefault="005D5D19" w:rsidP="005D5D19">
      <w:pPr>
        <w:spacing w:line="360" w:lineRule="auto"/>
        <w:ind w:firstLine="709"/>
        <w:jc w:val="center"/>
        <w:rPr>
          <w:rFonts w:ascii="Arial" w:hAnsi="Arial" w:cs="Arial"/>
          <w:sz w:val="24"/>
          <w:szCs w:val="24"/>
        </w:rPr>
      </w:pPr>
      <w:r>
        <w:rPr>
          <w:rFonts w:ascii="Arial" w:hAnsi="Arial" w:cs="Arial"/>
          <w:sz w:val="24"/>
          <w:szCs w:val="24"/>
        </w:rPr>
        <w:t xml:space="preserve">Imagem 2 – Forro </w:t>
      </w:r>
      <w:r w:rsidR="00E155B4">
        <w:rPr>
          <w:rFonts w:ascii="Arial" w:hAnsi="Arial" w:cs="Arial"/>
          <w:sz w:val="24"/>
          <w:szCs w:val="24"/>
        </w:rPr>
        <w:t>de gesso convencional</w:t>
      </w:r>
    </w:p>
    <w:p w:rsidR="005D5D19" w:rsidRDefault="00E155B4" w:rsidP="00F505B2">
      <w:pPr>
        <w:spacing w:line="360" w:lineRule="auto"/>
        <w:ind w:firstLine="709"/>
        <w:jc w:val="both"/>
        <w:rPr>
          <w:rFonts w:ascii="Arial" w:hAnsi="Arial" w:cs="Arial"/>
          <w:sz w:val="24"/>
          <w:szCs w:val="24"/>
        </w:rPr>
      </w:pPr>
      <w:r>
        <w:rPr>
          <w:rFonts w:ascii="Arial" w:hAnsi="Arial" w:cs="Arial"/>
          <w:noProof/>
          <w:sz w:val="24"/>
          <w:szCs w:val="24"/>
        </w:rPr>
        <w:drawing>
          <wp:anchor distT="0" distB="0" distL="114300" distR="114300" simplePos="0" relativeHeight="251658752" behindDoc="0" locked="0" layoutInCell="1" allowOverlap="1" wp14:anchorId="35B30F17">
            <wp:simplePos x="0" y="0"/>
            <wp:positionH relativeFrom="column">
              <wp:posOffset>1051560</wp:posOffset>
            </wp:positionH>
            <wp:positionV relativeFrom="paragraph">
              <wp:posOffset>5080</wp:posOffset>
            </wp:positionV>
            <wp:extent cx="3841200" cy="2880000"/>
            <wp:effectExtent l="0" t="0" r="698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2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5D19" w:rsidRDefault="005D5D19" w:rsidP="00F505B2">
      <w:pPr>
        <w:spacing w:line="360" w:lineRule="auto"/>
        <w:ind w:firstLine="709"/>
        <w:jc w:val="both"/>
        <w:rPr>
          <w:rFonts w:ascii="Arial" w:hAnsi="Arial" w:cs="Arial"/>
          <w:sz w:val="24"/>
          <w:szCs w:val="24"/>
        </w:rPr>
      </w:pPr>
    </w:p>
    <w:p w:rsidR="005D5D19" w:rsidRDefault="005D5D19" w:rsidP="00F505B2">
      <w:pPr>
        <w:spacing w:line="360" w:lineRule="auto"/>
        <w:ind w:firstLine="709"/>
        <w:jc w:val="both"/>
        <w:rPr>
          <w:rFonts w:ascii="Arial" w:hAnsi="Arial" w:cs="Arial"/>
          <w:sz w:val="24"/>
          <w:szCs w:val="24"/>
        </w:rPr>
      </w:pPr>
    </w:p>
    <w:p w:rsidR="005D5D19" w:rsidRDefault="005D5D19" w:rsidP="00F505B2">
      <w:pPr>
        <w:spacing w:line="360" w:lineRule="auto"/>
        <w:ind w:firstLine="709"/>
        <w:jc w:val="both"/>
        <w:rPr>
          <w:rFonts w:ascii="Arial" w:hAnsi="Arial" w:cs="Arial"/>
          <w:sz w:val="24"/>
          <w:szCs w:val="24"/>
        </w:rPr>
      </w:pPr>
    </w:p>
    <w:p w:rsidR="005D5D19" w:rsidRDefault="005D5D19" w:rsidP="00F505B2">
      <w:pPr>
        <w:spacing w:line="360" w:lineRule="auto"/>
        <w:ind w:firstLine="709"/>
        <w:jc w:val="both"/>
        <w:rPr>
          <w:rFonts w:ascii="Arial" w:hAnsi="Arial" w:cs="Arial"/>
          <w:sz w:val="24"/>
          <w:szCs w:val="24"/>
        </w:rPr>
      </w:pPr>
    </w:p>
    <w:p w:rsidR="005D5D19" w:rsidRDefault="005D5D19" w:rsidP="00F505B2">
      <w:pPr>
        <w:spacing w:line="360" w:lineRule="auto"/>
        <w:ind w:firstLine="709"/>
        <w:jc w:val="both"/>
        <w:rPr>
          <w:rFonts w:ascii="Arial" w:hAnsi="Arial" w:cs="Arial"/>
          <w:sz w:val="24"/>
          <w:szCs w:val="24"/>
        </w:rPr>
      </w:pPr>
    </w:p>
    <w:p w:rsidR="005D5D19" w:rsidRDefault="005D5D19" w:rsidP="00F505B2">
      <w:pPr>
        <w:spacing w:line="360" w:lineRule="auto"/>
        <w:ind w:firstLine="709"/>
        <w:jc w:val="both"/>
        <w:rPr>
          <w:rFonts w:ascii="Arial" w:hAnsi="Arial" w:cs="Arial"/>
          <w:sz w:val="24"/>
          <w:szCs w:val="24"/>
        </w:rPr>
      </w:pPr>
    </w:p>
    <w:p w:rsidR="005D5D19" w:rsidRDefault="005D5D19" w:rsidP="00F505B2">
      <w:pPr>
        <w:spacing w:line="360" w:lineRule="auto"/>
        <w:ind w:firstLine="709"/>
        <w:jc w:val="both"/>
        <w:rPr>
          <w:rFonts w:ascii="Arial" w:hAnsi="Arial" w:cs="Arial"/>
          <w:sz w:val="24"/>
          <w:szCs w:val="24"/>
        </w:rPr>
      </w:pPr>
    </w:p>
    <w:p w:rsidR="005D5D19" w:rsidRDefault="005D5D19" w:rsidP="00F505B2">
      <w:pPr>
        <w:spacing w:line="360" w:lineRule="auto"/>
        <w:ind w:firstLine="709"/>
        <w:jc w:val="both"/>
        <w:rPr>
          <w:rFonts w:ascii="Arial" w:hAnsi="Arial" w:cs="Arial"/>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27" w:name="_Toc534701380"/>
      <w:bookmarkStart w:id="28" w:name="_Toc10550699"/>
      <w:r w:rsidRPr="006F2483">
        <w:rPr>
          <w:rFonts w:ascii="Arial" w:hAnsi="Arial" w:cs="Arial"/>
          <w:b/>
          <w:color w:val="auto"/>
        </w:rPr>
        <w:t xml:space="preserve">4.2.3 – </w:t>
      </w:r>
      <w:bookmarkEnd w:id="27"/>
      <w:r w:rsidR="00EA3A8F">
        <w:rPr>
          <w:rFonts w:ascii="Arial" w:hAnsi="Arial" w:cs="Arial"/>
          <w:b/>
          <w:color w:val="auto"/>
        </w:rPr>
        <w:t>Ponto padrão de luz no teto</w:t>
      </w:r>
      <w:bookmarkEnd w:id="28"/>
      <w:r w:rsidRPr="006F2483">
        <w:rPr>
          <w:rFonts w:ascii="Arial" w:hAnsi="Arial" w:cs="Arial"/>
          <w:b/>
          <w:color w:val="auto"/>
        </w:rPr>
        <w:t xml:space="preserve"> </w:t>
      </w:r>
    </w:p>
    <w:p w:rsidR="00EA3A8F" w:rsidRPr="00EA3A8F" w:rsidRDefault="005D5D19" w:rsidP="005D5D19">
      <w:pPr>
        <w:spacing w:after="0" w:line="360" w:lineRule="auto"/>
        <w:ind w:firstLine="709"/>
        <w:jc w:val="both"/>
        <w:rPr>
          <w:rFonts w:ascii="Arial" w:hAnsi="Arial" w:cs="Arial"/>
          <w:sz w:val="24"/>
          <w:szCs w:val="24"/>
        </w:rPr>
      </w:pPr>
      <w:r>
        <w:rPr>
          <w:rFonts w:ascii="Arial" w:hAnsi="Arial" w:cs="Arial"/>
          <w:sz w:val="24"/>
          <w:szCs w:val="24"/>
        </w:rPr>
        <w:t>Os pontos elétricos d</w:t>
      </w:r>
      <w:r w:rsidR="00EA3A8F" w:rsidRPr="00EA3A8F">
        <w:rPr>
          <w:rFonts w:ascii="Arial" w:hAnsi="Arial" w:cs="Arial"/>
          <w:sz w:val="24"/>
          <w:szCs w:val="24"/>
        </w:rPr>
        <w:t>everão ser executad</w:t>
      </w:r>
      <w:r>
        <w:rPr>
          <w:rFonts w:ascii="Arial" w:hAnsi="Arial" w:cs="Arial"/>
          <w:sz w:val="24"/>
          <w:szCs w:val="24"/>
        </w:rPr>
        <w:t>o</w:t>
      </w:r>
      <w:r w:rsidR="00EA3A8F" w:rsidRPr="00EA3A8F">
        <w:rPr>
          <w:rFonts w:ascii="Arial" w:hAnsi="Arial" w:cs="Arial"/>
          <w:sz w:val="24"/>
          <w:szCs w:val="24"/>
        </w:rPr>
        <w:t>s</w:t>
      </w:r>
      <w:r w:rsidR="0075191E">
        <w:rPr>
          <w:rFonts w:ascii="Arial" w:hAnsi="Arial" w:cs="Arial"/>
          <w:sz w:val="24"/>
          <w:szCs w:val="24"/>
        </w:rPr>
        <w:t>, conforme projeto,</w:t>
      </w:r>
      <w:r w:rsidR="00EA3A8F" w:rsidRPr="00EA3A8F">
        <w:rPr>
          <w:rFonts w:ascii="Arial" w:hAnsi="Arial" w:cs="Arial"/>
          <w:sz w:val="24"/>
          <w:szCs w:val="24"/>
        </w:rPr>
        <w:t xml:space="preserve"> por pessoal especializado</w:t>
      </w:r>
      <w:r>
        <w:rPr>
          <w:rFonts w:ascii="Arial" w:hAnsi="Arial" w:cs="Arial"/>
          <w:sz w:val="24"/>
          <w:szCs w:val="24"/>
        </w:rPr>
        <w:t>,</w:t>
      </w:r>
      <w:r w:rsidR="00EA3A8F" w:rsidRPr="00EA3A8F">
        <w:rPr>
          <w:rFonts w:ascii="Arial" w:hAnsi="Arial" w:cs="Arial"/>
          <w:sz w:val="24"/>
          <w:szCs w:val="24"/>
        </w:rPr>
        <w:t xml:space="preserve"> habilitado a obter acabamento perfeito, de modo a obedecer às exigências da ESCELSA e da ABNT relativas à execução de serviços.</w:t>
      </w:r>
    </w:p>
    <w:p w:rsidR="00EA3A8F" w:rsidRDefault="00EA3A8F" w:rsidP="00EA3A8F">
      <w:pPr>
        <w:spacing w:after="0" w:line="360" w:lineRule="auto"/>
        <w:ind w:firstLine="426"/>
        <w:jc w:val="both"/>
        <w:rPr>
          <w:rFonts w:ascii="Arial" w:hAnsi="Arial" w:cs="Arial"/>
          <w:sz w:val="24"/>
          <w:szCs w:val="24"/>
        </w:rPr>
      </w:pPr>
      <w:r w:rsidRPr="006F2483">
        <w:rPr>
          <w:rFonts w:ascii="Arial" w:hAnsi="Arial" w:cs="Arial"/>
          <w:sz w:val="24"/>
          <w:szCs w:val="24"/>
        </w:rPr>
        <w:t>Ficará a critério da fiscalização impugnar parcial ou totalmente qualquer trabalho executado em desacordo com as Normas de execução e especificações de material.</w:t>
      </w:r>
    </w:p>
    <w:p w:rsidR="00422D78" w:rsidRDefault="00422D78" w:rsidP="00EA3A8F">
      <w:pPr>
        <w:spacing w:after="0" w:line="360" w:lineRule="auto"/>
        <w:ind w:firstLine="426"/>
        <w:jc w:val="both"/>
        <w:rPr>
          <w:rFonts w:ascii="Arial" w:hAnsi="Arial" w:cs="Arial"/>
          <w:sz w:val="24"/>
          <w:szCs w:val="24"/>
        </w:rPr>
      </w:pPr>
    </w:p>
    <w:p w:rsidR="00422D78" w:rsidRDefault="00422D78" w:rsidP="00422D78">
      <w:pPr>
        <w:pStyle w:val="Ttulo3"/>
        <w:spacing w:line="360" w:lineRule="auto"/>
        <w:ind w:firstLine="709"/>
        <w:jc w:val="both"/>
        <w:rPr>
          <w:rFonts w:ascii="Arial" w:hAnsi="Arial" w:cs="Arial"/>
          <w:b/>
          <w:color w:val="auto"/>
        </w:rPr>
      </w:pPr>
      <w:bookmarkStart w:id="29" w:name="_Toc10550700"/>
      <w:r w:rsidRPr="006F2483">
        <w:rPr>
          <w:rFonts w:ascii="Arial" w:hAnsi="Arial" w:cs="Arial"/>
          <w:b/>
          <w:color w:val="auto"/>
        </w:rPr>
        <w:t>4.2.</w:t>
      </w:r>
      <w:r w:rsidR="009D2C97">
        <w:rPr>
          <w:rFonts w:ascii="Arial" w:hAnsi="Arial" w:cs="Arial"/>
          <w:b/>
          <w:color w:val="auto"/>
        </w:rPr>
        <w:t>4</w:t>
      </w:r>
      <w:r w:rsidRPr="006F2483">
        <w:rPr>
          <w:rFonts w:ascii="Arial" w:hAnsi="Arial" w:cs="Arial"/>
          <w:b/>
          <w:color w:val="auto"/>
        </w:rPr>
        <w:t xml:space="preserve"> – </w:t>
      </w:r>
      <w:r>
        <w:rPr>
          <w:rFonts w:ascii="Arial" w:hAnsi="Arial" w:cs="Arial"/>
          <w:b/>
          <w:color w:val="auto"/>
        </w:rPr>
        <w:t>Recolocação de luminárias e instalação de lâmpadas</w:t>
      </w:r>
      <w:bookmarkEnd w:id="29"/>
    </w:p>
    <w:p w:rsidR="00422D78" w:rsidRPr="00422D78" w:rsidRDefault="00422D78" w:rsidP="00422D78">
      <w:pPr>
        <w:pStyle w:val="Ttulo3"/>
        <w:spacing w:line="360" w:lineRule="auto"/>
        <w:jc w:val="both"/>
        <w:rPr>
          <w:rFonts w:ascii="Arial" w:hAnsi="Arial" w:cs="Arial"/>
          <w:bCs/>
          <w:color w:val="auto"/>
        </w:rPr>
      </w:pPr>
      <w:r>
        <w:rPr>
          <w:rFonts w:ascii="Arial" w:hAnsi="Arial" w:cs="Arial"/>
          <w:b/>
          <w:color w:val="auto"/>
        </w:rPr>
        <w:tab/>
      </w:r>
      <w:bookmarkStart w:id="30" w:name="_Toc10550701"/>
      <w:r>
        <w:rPr>
          <w:rFonts w:ascii="Arial" w:hAnsi="Arial" w:cs="Arial"/>
          <w:bCs/>
          <w:color w:val="auto"/>
        </w:rPr>
        <w:t>Após finalizar a total substituição dos pontos elétricos e a instalação do forro</w:t>
      </w:r>
      <w:r w:rsidR="009F15F1">
        <w:rPr>
          <w:rFonts w:ascii="Arial" w:hAnsi="Arial" w:cs="Arial"/>
          <w:bCs/>
          <w:color w:val="auto"/>
        </w:rPr>
        <w:t xml:space="preserve"> de gesso</w:t>
      </w:r>
      <w:bookmarkStart w:id="31" w:name="_GoBack"/>
      <w:bookmarkEnd w:id="31"/>
      <w:r>
        <w:rPr>
          <w:rFonts w:ascii="Arial" w:hAnsi="Arial" w:cs="Arial"/>
          <w:bCs/>
          <w:color w:val="auto"/>
        </w:rPr>
        <w:t>, as luminárias de sobrepor, tipo paflon, que foram retiradas para a execução da reforma, devem ser recolocadas, junto com as lâmpadas de LED, 10 W.</w:t>
      </w:r>
      <w:bookmarkEnd w:id="30"/>
      <w:r>
        <w:rPr>
          <w:rFonts w:ascii="Arial" w:hAnsi="Arial" w:cs="Arial"/>
          <w:bCs/>
          <w:color w:val="auto"/>
        </w:rPr>
        <w:t xml:space="preserve"> </w:t>
      </w:r>
    </w:p>
    <w:p w:rsidR="00422D78" w:rsidRDefault="00422D78" w:rsidP="00EA3A8F">
      <w:pPr>
        <w:spacing w:after="0" w:line="360" w:lineRule="auto"/>
        <w:ind w:firstLine="426"/>
        <w:jc w:val="both"/>
        <w:rPr>
          <w:rFonts w:ascii="Arial" w:hAnsi="Arial" w:cs="Arial"/>
          <w:sz w:val="24"/>
          <w:szCs w:val="24"/>
        </w:rPr>
      </w:pPr>
    </w:p>
    <w:p w:rsidR="00422D78" w:rsidRPr="006F2483" w:rsidRDefault="00422D78" w:rsidP="00EA3A8F">
      <w:pPr>
        <w:spacing w:after="0" w:line="360" w:lineRule="auto"/>
        <w:ind w:firstLine="426"/>
        <w:jc w:val="both"/>
        <w:rPr>
          <w:rFonts w:ascii="Arial" w:hAnsi="Arial" w:cs="Arial"/>
          <w:sz w:val="24"/>
          <w:szCs w:val="24"/>
        </w:rPr>
      </w:pPr>
    </w:p>
    <w:p w:rsidR="006F2483" w:rsidRPr="006F2483" w:rsidRDefault="006F2483" w:rsidP="006F2483">
      <w:pPr>
        <w:pStyle w:val="Ttulo1"/>
        <w:spacing w:line="360" w:lineRule="auto"/>
        <w:jc w:val="both"/>
        <w:rPr>
          <w:rFonts w:ascii="Arial" w:hAnsi="Arial" w:cs="Arial"/>
          <w:b/>
          <w:color w:val="auto"/>
          <w:sz w:val="24"/>
          <w:szCs w:val="24"/>
        </w:rPr>
      </w:pPr>
      <w:bookmarkStart w:id="32" w:name="_Toc534701405"/>
      <w:bookmarkStart w:id="33" w:name="_Toc10550702"/>
      <w:r w:rsidRPr="006F2483">
        <w:rPr>
          <w:rFonts w:ascii="Arial" w:hAnsi="Arial" w:cs="Arial"/>
          <w:b/>
          <w:color w:val="auto"/>
          <w:sz w:val="24"/>
          <w:szCs w:val="24"/>
        </w:rPr>
        <w:lastRenderedPageBreak/>
        <w:t>5 – RECEBIMENTO DOS SERVIÇOS E OBRAS</w:t>
      </w:r>
      <w:bookmarkEnd w:id="32"/>
      <w:bookmarkEnd w:id="33"/>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 xml:space="preserve">Concluímos todos os serviços, objetos desta licitação, se estiverem em perfeitas condições atestada pela </w:t>
      </w:r>
      <w:r w:rsidRPr="006F2483">
        <w:rPr>
          <w:rFonts w:ascii="Arial" w:hAnsi="Arial" w:cs="Arial"/>
          <w:b/>
          <w:sz w:val="24"/>
          <w:szCs w:val="24"/>
        </w:rPr>
        <w:t>FISCALIZAÇÃO</w:t>
      </w:r>
      <w:r w:rsidRPr="006F2483">
        <w:rPr>
          <w:rFonts w:ascii="Arial" w:hAnsi="Arial" w:cs="Arial"/>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 xml:space="preserve">Decorridos 15 (quinze) dias corridos a contar da data do requerimento da Contratada, os serviços serão recebidos </w:t>
      </w:r>
      <w:r w:rsidRPr="006F2483">
        <w:rPr>
          <w:rFonts w:ascii="Arial" w:hAnsi="Arial" w:cs="Arial"/>
          <w:b/>
          <w:sz w:val="24"/>
          <w:szCs w:val="24"/>
        </w:rPr>
        <w:t>provisoriamente</w:t>
      </w:r>
      <w:r w:rsidRPr="006F2483">
        <w:rPr>
          <w:rFonts w:ascii="Arial" w:hAnsi="Arial" w:cs="Arial"/>
          <w:sz w:val="24"/>
          <w:szCs w:val="24"/>
        </w:rPr>
        <w:t xml:space="preserve"> pela </w:t>
      </w:r>
      <w:r w:rsidRPr="006F2483">
        <w:rPr>
          <w:rFonts w:ascii="Arial" w:hAnsi="Arial" w:cs="Arial"/>
          <w:b/>
          <w:sz w:val="24"/>
          <w:szCs w:val="24"/>
        </w:rPr>
        <w:t>FISCALIZAÇÃO</w:t>
      </w:r>
      <w:r w:rsidRPr="006F2483">
        <w:rPr>
          <w:rFonts w:ascii="Arial" w:hAnsi="Arial" w:cs="Arial"/>
          <w:sz w:val="24"/>
          <w:szCs w:val="24"/>
        </w:rPr>
        <w:t>, e que lavrará “Termo de Recebimento Provisório”.</w:t>
      </w:r>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A Contratada fica obrigada a manter os serviços e obras por sua conta e risco, até a lavratura do “Termo de Recebimento Definitivo”, em perfeitas condições de conservação e funcionamento.</w:t>
      </w:r>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 xml:space="preserve">Decorridos o prazo de 60 (sessenta) dias após a lavratura do “Termo de Recebimento Provisório”, se os serviços de correção das anormalidades por ventura verificadas forem executados e aceitos pela Comissão de Recebimento de Obras ou pela </w:t>
      </w:r>
      <w:r w:rsidRPr="006F2483">
        <w:rPr>
          <w:rFonts w:ascii="Arial" w:hAnsi="Arial" w:cs="Arial"/>
          <w:b/>
          <w:sz w:val="24"/>
          <w:szCs w:val="24"/>
        </w:rPr>
        <w:t>FISCALIZAÇÃO</w:t>
      </w:r>
      <w:r w:rsidRPr="006F2483">
        <w:rPr>
          <w:rFonts w:ascii="Arial" w:hAnsi="Arial" w:cs="Arial"/>
          <w:sz w:val="24"/>
          <w:szCs w:val="24"/>
        </w:rPr>
        <w:t>, e comprovado o pagamento da contribuição devida a Previdência Social relativa ao período de execução dos serviços, será lavrado o “Termo de Recebimento Definitivo”.</w:t>
      </w:r>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 xml:space="preserve">Aceitos os serviços e obras, a responsabilidade da </w:t>
      </w:r>
      <w:r w:rsidRPr="006F2483">
        <w:rPr>
          <w:rFonts w:ascii="Arial" w:hAnsi="Arial" w:cs="Arial"/>
          <w:b/>
          <w:sz w:val="24"/>
          <w:szCs w:val="24"/>
        </w:rPr>
        <w:t>CONTRATADA</w:t>
      </w:r>
      <w:r w:rsidRPr="006F2483">
        <w:rPr>
          <w:rFonts w:ascii="Arial" w:hAnsi="Arial" w:cs="Arial"/>
          <w:sz w:val="24"/>
          <w:szCs w:val="24"/>
        </w:rPr>
        <w:t xml:space="preserve"> pela qualidade, correções e segurança dos trabalhos, subsiste na forma da Lei.</w:t>
      </w:r>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rsidR="006F2483" w:rsidRDefault="006F2483" w:rsidP="006F2483">
      <w:pPr>
        <w:spacing w:after="0" w:line="360" w:lineRule="auto"/>
        <w:ind w:firstLine="709"/>
        <w:jc w:val="both"/>
        <w:rPr>
          <w:rFonts w:ascii="Arial" w:hAnsi="Arial" w:cs="Arial"/>
          <w:b/>
          <w:sz w:val="24"/>
          <w:szCs w:val="24"/>
        </w:rPr>
      </w:pPr>
      <w:r w:rsidRPr="006F2483">
        <w:rPr>
          <w:rFonts w:ascii="Arial" w:hAnsi="Arial" w:cs="Arial"/>
          <w:sz w:val="24"/>
          <w:szCs w:val="24"/>
        </w:rPr>
        <w:t xml:space="preserve">O recebimento em geral também deverá estar de acordo com a </w:t>
      </w:r>
      <w:r w:rsidRPr="006F2483">
        <w:rPr>
          <w:rFonts w:ascii="Arial" w:hAnsi="Arial" w:cs="Arial"/>
          <w:b/>
          <w:sz w:val="24"/>
          <w:szCs w:val="24"/>
        </w:rPr>
        <w:t>NBR-5675.</w:t>
      </w:r>
    </w:p>
    <w:p w:rsidR="00020AF8" w:rsidRPr="006F2483" w:rsidRDefault="00020AF8" w:rsidP="00020AF8">
      <w:pPr>
        <w:spacing w:after="0" w:line="360" w:lineRule="auto"/>
        <w:jc w:val="both"/>
        <w:rPr>
          <w:rFonts w:ascii="Arial" w:hAnsi="Arial" w:cs="Arial"/>
          <w:b/>
          <w:sz w:val="24"/>
          <w:szCs w:val="24"/>
        </w:rPr>
      </w:pPr>
    </w:p>
    <w:p w:rsidR="006F2483" w:rsidRPr="006F2483" w:rsidRDefault="006F2483" w:rsidP="006F2483">
      <w:pPr>
        <w:spacing w:before="240" w:line="360" w:lineRule="auto"/>
        <w:contextualSpacing/>
        <w:jc w:val="both"/>
        <w:rPr>
          <w:rFonts w:ascii="Arial" w:hAnsi="Arial" w:cs="Arial"/>
          <w:sz w:val="24"/>
          <w:szCs w:val="24"/>
        </w:rPr>
      </w:pPr>
    </w:p>
    <w:p w:rsidR="006F2483" w:rsidRDefault="006F2483" w:rsidP="006F2483">
      <w:pPr>
        <w:spacing w:before="240" w:line="360" w:lineRule="auto"/>
        <w:contextualSpacing/>
        <w:jc w:val="both"/>
        <w:rPr>
          <w:rFonts w:ascii="Arial" w:hAnsi="Arial" w:cs="Arial"/>
          <w:sz w:val="24"/>
          <w:szCs w:val="24"/>
        </w:rPr>
      </w:pPr>
      <w:r w:rsidRPr="006F2483">
        <w:rPr>
          <w:rFonts w:ascii="Arial" w:hAnsi="Arial" w:cs="Arial"/>
          <w:sz w:val="24"/>
          <w:szCs w:val="24"/>
        </w:rPr>
        <w:t xml:space="preserve">Itarana – ES, </w:t>
      </w:r>
      <w:r w:rsidR="00020AF8">
        <w:rPr>
          <w:rFonts w:ascii="Arial" w:hAnsi="Arial" w:cs="Arial"/>
          <w:sz w:val="24"/>
          <w:szCs w:val="24"/>
        </w:rPr>
        <w:t>04</w:t>
      </w:r>
      <w:r w:rsidRPr="006F2483">
        <w:rPr>
          <w:rFonts w:ascii="Arial" w:hAnsi="Arial" w:cs="Arial"/>
          <w:sz w:val="24"/>
          <w:szCs w:val="24"/>
        </w:rPr>
        <w:t xml:space="preserve"> de </w:t>
      </w:r>
      <w:r w:rsidR="00020AF8">
        <w:rPr>
          <w:rFonts w:ascii="Arial" w:hAnsi="Arial" w:cs="Arial"/>
          <w:sz w:val="24"/>
          <w:szCs w:val="24"/>
        </w:rPr>
        <w:t>junho</w:t>
      </w:r>
      <w:r w:rsidRPr="006F2483">
        <w:rPr>
          <w:rFonts w:ascii="Arial" w:hAnsi="Arial" w:cs="Arial"/>
          <w:sz w:val="24"/>
          <w:szCs w:val="24"/>
        </w:rPr>
        <w:t xml:space="preserve"> de 2019.</w:t>
      </w:r>
    </w:p>
    <w:p w:rsidR="00A75427" w:rsidRPr="006F2483" w:rsidRDefault="00A75427" w:rsidP="006F2483">
      <w:pPr>
        <w:spacing w:before="240" w:line="360" w:lineRule="auto"/>
        <w:contextualSpacing/>
        <w:jc w:val="both"/>
        <w:rPr>
          <w:rFonts w:ascii="Arial" w:hAnsi="Arial" w:cs="Arial"/>
          <w:sz w:val="24"/>
          <w:szCs w:val="24"/>
        </w:rPr>
      </w:pPr>
    </w:p>
    <w:p w:rsidR="006F2483" w:rsidRPr="006F2483" w:rsidRDefault="006F2483" w:rsidP="006F2483">
      <w:pPr>
        <w:spacing w:before="240" w:line="360" w:lineRule="auto"/>
        <w:contextualSpacing/>
        <w:jc w:val="both"/>
        <w:rPr>
          <w:rFonts w:ascii="Arial" w:hAnsi="Arial" w:cs="Arial"/>
          <w:sz w:val="24"/>
          <w:szCs w:val="24"/>
        </w:rPr>
      </w:pPr>
    </w:p>
    <w:p w:rsidR="0065017E" w:rsidRPr="005A419A" w:rsidRDefault="0065017E" w:rsidP="005A419A">
      <w:pPr>
        <w:spacing w:before="240" w:line="240" w:lineRule="auto"/>
        <w:contextualSpacing/>
        <w:jc w:val="right"/>
        <w:rPr>
          <w:rFonts w:ascii="Arial" w:hAnsi="Arial" w:cs="Arial"/>
        </w:rPr>
      </w:pPr>
      <w:r>
        <w:rPr>
          <w:rFonts w:ascii="Arial" w:hAnsi="Arial" w:cs="Arial"/>
          <w:b/>
          <w:sz w:val="24"/>
          <w:szCs w:val="24"/>
        </w:rPr>
        <w:t>Catarina Demoner Diniz</w:t>
      </w:r>
      <w:r w:rsidRPr="008D537E">
        <w:rPr>
          <w:rFonts w:ascii="Arial" w:hAnsi="Arial" w:cs="Arial"/>
          <w:b/>
          <w:sz w:val="24"/>
          <w:szCs w:val="24"/>
        </w:rPr>
        <w:br/>
      </w:r>
      <w:r w:rsidRPr="005A419A">
        <w:rPr>
          <w:rFonts w:ascii="Arial" w:hAnsi="Arial" w:cs="Arial"/>
        </w:rPr>
        <w:t>Responsável Técnico - PMI</w:t>
      </w:r>
    </w:p>
    <w:p w:rsidR="0065017E" w:rsidRPr="005A419A" w:rsidRDefault="0065017E" w:rsidP="005A419A">
      <w:pPr>
        <w:spacing w:before="240" w:line="240" w:lineRule="auto"/>
        <w:contextualSpacing/>
        <w:jc w:val="right"/>
        <w:rPr>
          <w:rFonts w:ascii="Arial" w:hAnsi="Arial" w:cs="Arial"/>
          <w:i/>
        </w:rPr>
      </w:pPr>
      <w:r w:rsidRPr="005A419A">
        <w:rPr>
          <w:rFonts w:ascii="Arial" w:hAnsi="Arial" w:cs="Arial"/>
          <w:i/>
        </w:rPr>
        <w:t>Engenheira Civil - CREA ES-0048118/D</w:t>
      </w:r>
    </w:p>
    <w:sectPr w:rsidR="0065017E" w:rsidRPr="005A419A" w:rsidSect="00EF3CC5">
      <w:headerReference w:type="default" r:id="rId10"/>
      <w:footerReference w:type="default" r:id="rId11"/>
      <w:pgSz w:w="11906" w:h="16838" w:code="9"/>
      <w:pgMar w:top="2095" w:right="1133" w:bottom="1276"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1E" w:rsidRDefault="00F9071E" w:rsidP="008410AF">
      <w:pPr>
        <w:spacing w:after="0" w:line="240" w:lineRule="auto"/>
      </w:pPr>
      <w:r>
        <w:separator/>
      </w:r>
    </w:p>
  </w:endnote>
  <w:endnote w:type="continuationSeparator" w:id="0">
    <w:p w:rsidR="00F9071E" w:rsidRDefault="00F9071E"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031705"/>
      <w:docPartObj>
        <w:docPartGallery w:val="Page Numbers (Bottom of Page)"/>
        <w:docPartUnique/>
      </w:docPartObj>
    </w:sdtPr>
    <w:sdtEndPr/>
    <w:sdtContent>
      <w:p w:rsidR="00F505B2" w:rsidRPr="00257E05" w:rsidRDefault="00F505B2">
        <w:pPr>
          <w:pStyle w:val="Rodap"/>
          <w:jc w:val="right"/>
          <w:rPr>
            <w:sz w:val="20"/>
          </w:rPr>
        </w:pPr>
        <w:r w:rsidRPr="00257E05">
          <w:rPr>
            <w:sz w:val="20"/>
          </w:rPr>
          <w:t>Rua Elias Estevão Colnago, nº 65 – Centro - Itarana/ES   CEP 29620-000    Tel.: (27) 3720-4900</w:t>
        </w:r>
        <w:r w:rsidRPr="00257E05">
          <w:rPr>
            <w:sz w:val="20"/>
          </w:rPr>
          <w:ptab w:relativeTo="margin" w:alignment="right" w:leader="none"/>
        </w:r>
        <w:r w:rsidRPr="00257E05">
          <w:rPr>
            <w:sz w:val="20"/>
          </w:rPr>
          <w:fldChar w:fldCharType="begin"/>
        </w:r>
        <w:r w:rsidRPr="00257E05">
          <w:rPr>
            <w:sz w:val="20"/>
          </w:rPr>
          <w:instrText xml:space="preserve"> PAGE  \* Arabic  \* MERGEFORMAT </w:instrText>
        </w:r>
        <w:r w:rsidRPr="00257E05">
          <w:rPr>
            <w:sz w:val="20"/>
          </w:rPr>
          <w:fldChar w:fldCharType="separate"/>
        </w:r>
        <w:r w:rsidR="008F268C">
          <w:rPr>
            <w:noProof/>
            <w:sz w:val="20"/>
          </w:rPr>
          <w:t>10</w:t>
        </w:r>
        <w:r w:rsidRPr="00257E05">
          <w:rPr>
            <w:sz w:val="20"/>
          </w:rPr>
          <w:fldChar w:fldCharType="end"/>
        </w:r>
        <w:r w:rsidR="00020AF8">
          <w:rPr>
            <w:sz w:val="20"/>
          </w:rPr>
          <w:t xml:space="preserve"> de 1</w:t>
        </w:r>
        <w:r w:rsidR="00161190">
          <w:rPr>
            <w:sz w:val="20"/>
          </w:rPr>
          <w:t>0</w:t>
        </w:r>
      </w:p>
    </w:sdtContent>
  </w:sdt>
  <w:p w:rsidR="00F505B2" w:rsidRDefault="00F505B2" w:rsidP="00FB5D17">
    <w:pPr>
      <w:pStyle w:val="Rodap"/>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1E" w:rsidRDefault="00F9071E" w:rsidP="008410AF">
      <w:pPr>
        <w:spacing w:after="0" w:line="240" w:lineRule="auto"/>
      </w:pPr>
      <w:r>
        <w:separator/>
      </w:r>
    </w:p>
  </w:footnote>
  <w:footnote w:type="continuationSeparator" w:id="0">
    <w:p w:rsidR="00F9071E" w:rsidRDefault="00F9071E"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5B2" w:rsidRDefault="00F505B2" w:rsidP="00FB5D17">
    <w:pPr>
      <w:pStyle w:val="Cabealho"/>
      <w:jc w:val="center"/>
    </w:pPr>
    <w:r w:rsidRPr="00FB5D17">
      <w:rPr>
        <w:noProof/>
        <w:lang w:eastAsia="pt-BR"/>
      </w:rPr>
      <w:drawing>
        <wp:anchor distT="0" distB="0" distL="114300" distR="114300" simplePos="0" relativeHeight="251657728" behindDoc="0" locked="0" layoutInCell="1" allowOverlap="1" wp14:anchorId="222BFDD3" wp14:editId="0CB55222">
          <wp:simplePos x="0" y="0"/>
          <wp:positionH relativeFrom="column">
            <wp:posOffset>1547495</wp:posOffset>
          </wp:positionH>
          <wp:positionV relativeFrom="paragraph">
            <wp:posOffset>-326390</wp:posOffset>
          </wp:positionV>
          <wp:extent cx="2667000" cy="1094740"/>
          <wp:effectExtent l="0" t="0" r="0" b="0"/>
          <wp:wrapSquare wrapText="bothSides"/>
          <wp:docPr id="3" name="Imagem 3"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5B2" w:rsidRPr="00FB5D17" w:rsidRDefault="00F505B2">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846419"/>
    <w:multiLevelType w:val="hybridMultilevel"/>
    <w:tmpl w:val="CEBEE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0AF"/>
    <w:rsid w:val="000011B0"/>
    <w:rsid w:val="00010F9E"/>
    <w:rsid w:val="0001245F"/>
    <w:rsid w:val="00020958"/>
    <w:rsid w:val="00020AF8"/>
    <w:rsid w:val="000305B9"/>
    <w:rsid w:val="00031378"/>
    <w:rsid w:val="00040A1A"/>
    <w:rsid w:val="00046BCF"/>
    <w:rsid w:val="00052604"/>
    <w:rsid w:val="000530F5"/>
    <w:rsid w:val="0006272A"/>
    <w:rsid w:val="000669E9"/>
    <w:rsid w:val="0007011C"/>
    <w:rsid w:val="00071384"/>
    <w:rsid w:val="000719E3"/>
    <w:rsid w:val="00072963"/>
    <w:rsid w:val="00072EB3"/>
    <w:rsid w:val="00076A1D"/>
    <w:rsid w:val="000856BD"/>
    <w:rsid w:val="0009073A"/>
    <w:rsid w:val="000B09E1"/>
    <w:rsid w:val="000B3377"/>
    <w:rsid w:val="000C3A2D"/>
    <w:rsid w:val="000C6468"/>
    <w:rsid w:val="000D43FD"/>
    <w:rsid w:val="000D66DD"/>
    <w:rsid w:val="000D6ADF"/>
    <w:rsid w:val="000F2729"/>
    <w:rsid w:val="00111560"/>
    <w:rsid w:val="0011290F"/>
    <w:rsid w:val="00121052"/>
    <w:rsid w:val="0012712F"/>
    <w:rsid w:val="00136AAD"/>
    <w:rsid w:val="00141CED"/>
    <w:rsid w:val="001431B5"/>
    <w:rsid w:val="001435BA"/>
    <w:rsid w:val="001478FC"/>
    <w:rsid w:val="00154DB1"/>
    <w:rsid w:val="00161190"/>
    <w:rsid w:val="00170674"/>
    <w:rsid w:val="00171D07"/>
    <w:rsid w:val="00180BD1"/>
    <w:rsid w:val="00195550"/>
    <w:rsid w:val="001B2988"/>
    <w:rsid w:val="001B5355"/>
    <w:rsid w:val="001B5F4B"/>
    <w:rsid w:val="001B6BF3"/>
    <w:rsid w:val="001B6DE2"/>
    <w:rsid w:val="001C2300"/>
    <w:rsid w:val="001C522A"/>
    <w:rsid w:val="001C6A80"/>
    <w:rsid w:val="001C7691"/>
    <w:rsid w:val="001D4506"/>
    <w:rsid w:val="001E413D"/>
    <w:rsid w:val="001F0AA2"/>
    <w:rsid w:val="001F0FEC"/>
    <w:rsid w:val="001F6108"/>
    <w:rsid w:val="002014A2"/>
    <w:rsid w:val="00206CB9"/>
    <w:rsid w:val="00210D1E"/>
    <w:rsid w:val="00217671"/>
    <w:rsid w:val="00224AAB"/>
    <w:rsid w:val="00226CE4"/>
    <w:rsid w:val="00231D72"/>
    <w:rsid w:val="00232057"/>
    <w:rsid w:val="00235153"/>
    <w:rsid w:val="002413C8"/>
    <w:rsid w:val="00242262"/>
    <w:rsid w:val="002440F9"/>
    <w:rsid w:val="00244C0D"/>
    <w:rsid w:val="002460BD"/>
    <w:rsid w:val="00247765"/>
    <w:rsid w:val="00257E05"/>
    <w:rsid w:val="00265FD5"/>
    <w:rsid w:val="0028204A"/>
    <w:rsid w:val="0028447F"/>
    <w:rsid w:val="00296F5B"/>
    <w:rsid w:val="002B076A"/>
    <w:rsid w:val="002B384B"/>
    <w:rsid w:val="002E652D"/>
    <w:rsid w:val="002F0294"/>
    <w:rsid w:val="00305E8F"/>
    <w:rsid w:val="003138B5"/>
    <w:rsid w:val="003305EF"/>
    <w:rsid w:val="00330C5B"/>
    <w:rsid w:val="003321E5"/>
    <w:rsid w:val="00333C6A"/>
    <w:rsid w:val="00334030"/>
    <w:rsid w:val="00335785"/>
    <w:rsid w:val="003372A0"/>
    <w:rsid w:val="00354854"/>
    <w:rsid w:val="0035526D"/>
    <w:rsid w:val="00371CA9"/>
    <w:rsid w:val="00374C2F"/>
    <w:rsid w:val="00381B3C"/>
    <w:rsid w:val="0038400F"/>
    <w:rsid w:val="00386A05"/>
    <w:rsid w:val="00387BE3"/>
    <w:rsid w:val="00396418"/>
    <w:rsid w:val="003A345D"/>
    <w:rsid w:val="003B716B"/>
    <w:rsid w:val="003C0FE5"/>
    <w:rsid w:val="003C3AC3"/>
    <w:rsid w:val="003E3A99"/>
    <w:rsid w:val="003E7A9B"/>
    <w:rsid w:val="003F16BF"/>
    <w:rsid w:val="004105A9"/>
    <w:rsid w:val="00411FF4"/>
    <w:rsid w:val="00422D78"/>
    <w:rsid w:val="00423189"/>
    <w:rsid w:val="00425E69"/>
    <w:rsid w:val="00437134"/>
    <w:rsid w:val="004420C7"/>
    <w:rsid w:val="00447ED8"/>
    <w:rsid w:val="004567F1"/>
    <w:rsid w:val="0045772C"/>
    <w:rsid w:val="00457B89"/>
    <w:rsid w:val="004629F1"/>
    <w:rsid w:val="004658C1"/>
    <w:rsid w:val="004835B2"/>
    <w:rsid w:val="004B3AAA"/>
    <w:rsid w:val="004B47E8"/>
    <w:rsid w:val="004B5900"/>
    <w:rsid w:val="004B637E"/>
    <w:rsid w:val="004D1764"/>
    <w:rsid w:val="004D2F28"/>
    <w:rsid w:val="004D5416"/>
    <w:rsid w:val="004E14D1"/>
    <w:rsid w:val="004E17EF"/>
    <w:rsid w:val="004E5AA1"/>
    <w:rsid w:val="004E6ADD"/>
    <w:rsid w:val="004E780C"/>
    <w:rsid w:val="004F0494"/>
    <w:rsid w:val="004F25D1"/>
    <w:rsid w:val="0050325E"/>
    <w:rsid w:val="0051279B"/>
    <w:rsid w:val="00516DC5"/>
    <w:rsid w:val="005223ED"/>
    <w:rsid w:val="005337BF"/>
    <w:rsid w:val="00543B42"/>
    <w:rsid w:val="005513F3"/>
    <w:rsid w:val="00565FAC"/>
    <w:rsid w:val="00576766"/>
    <w:rsid w:val="0058567E"/>
    <w:rsid w:val="00587CA2"/>
    <w:rsid w:val="00590C9E"/>
    <w:rsid w:val="00594F6C"/>
    <w:rsid w:val="005A3E7F"/>
    <w:rsid w:val="005A419A"/>
    <w:rsid w:val="005A5023"/>
    <w:rsid w:val="005A74BC"/>
    <w:rsid w:val="005B66A9"/>
    <w:rsid w:val="005B6A18"/>
    <w:rsid w:val="005B6F70"/>
    <w:rsid w:val="005C15A1"/>
    <w:rsid w:val="005C2564"/>
    <w:rsid w:val="005C6D46"/>
    <w:rsid w:val="005C7128"/>
    <w:rsid w:val="005D5D19"/>
    <w:rsid w:val="005D776E"/>
    <w:rsid w:val="005E49CD"/>
    <w:rsid w:val="00600C71"/>
    <w:rsid w:val="0060721A"/>
    <w:rsid w:val="0060766F"/>
    <w:rsid w:val="00612DF6"/>
    <w:rsid w:val="00613737"/>
    <w:rsid w:val="006168F6"/>
    <w:rsid w:val="00625DC5"/>
    <w:rsid w:val="00627500"/>
    <w:rsid w:val="006312BA"/>
    <w:rsid w:val="00634E27"/>
    <w:rsid w:val="006350C9"/>
    <w:rsid w:val="00636537"/>
    <w:rsid w:val="0065017E"/>
    <w:rsid w:val="0065331C"/>
    <w:rsid w:val="0065463F"/>
    <w:rsid w:val="00672B6E"/>
    <w:rsid w:val="006739F5"/>
    <w:rsid w:val="00684D8D"/>
    <w:rsid w:val="0068791A"/>
    <w:rsid w:val="006921A7"/>
    <w:rsid w:val="006958BD"/>
    <w:rsid w:val="006A042D"/>
    <w:rsid w:val="006A169D"/>
    <w:rsid w:val="006A1B83"/>
    <w:rsid w:val="006A22E9"/>
    <w:rsid w:val="006A3C95"/>
    <w:rsid w:val="006A5701"/>
    <w:rsid w:val="006A7633"/>
    <w:rsid w:val="006B0310"/>
    <w:rsid w:val="006C46C1"/>
    <w:rsid w:val="006D0C03"/>
    <w:rsid w:val="006F0B51"/>
    <w:rsid w:val="006F2483"/>
    <w:rsid w:val="006F479B"/>
    <w:rsid w:val="006F5E1E"/>
    <w:rsid w:val="00700310"/>
    <w:rsid w:val="00703322"/>
    <w:rsid w:val="0071669C"/>
    <w:rsid w:val="00717C14"/>
    <w:rsid w:val="0072372D"/>
    <w:rsid w:val="007366D0"/>
    <w:rsid w:val="00744985"/>
    <w:rsid w:val="007465EB"/>
    <w:rsid w:val="00746789"/>
    <w:rsid w:val="0074765D"/>
    <w:rsid w:val="0075191E"/>
    <w:rsid w:val="00763625"/>
    <w:rsid w:val="00763FFC"/>
    <w:rsid w:val="007641B1"/>
    <w:rsid w:val="007658DF"/>
    <w:rsid w:val="007820F3"/>
    <w:rsid w:val="00792F2C"/>
    <w:rsid w:val="00797E23"/>
    <w:rsid w:val="007A0A2D"/>
    <w:rsid w:val="007B0EBB"/>
    <w:rsid w:val="007B313D"/>
    <w:rsid w:val="007B5756"/>
    <w:rsid w:val="007C193D"/>
    <w:rsid w:val="007C29C7"/>
    <w:rsid w:val="007D044A"/>
    <w:rsid w:val="007E5828"/>
    <w:rsid w:val="007F21E1"/>
    <w:rsid w:val="007F29CC"/>
    <w:rsid w:val="00804271"/>
    <w:rsid w:val="008053AB"/>
    <w:rsid w:val="00812629"/>
    <w:rsid w:val="008201DE"/>
    <w:rsid w:val="00827C5D"/>
    <w:rsid w:val="0083430A"/>
    <w:rsid w:val="0084102B"/>
    <w:rsid w:val="008410AF"/>
    <w:rsid w:val="008454B1"/>
    <w:rsid w:val="008466A7"/>
    <w:rsid w:val="00854AC7"/>
    <w:rsid w:val="0086165A"/>
    <w:rsid w:val="0087421C"/>
    <w:rsid w:val="00880A11"/>
    <w:rsid w:val="0088422F"/>
    <w:rsid w:val="00885F9B"/>
    <w:rsid w:val="008901D7"/>
    <w:rsid w:val="008911FD"/>
    <w:rsid w:val="008A04AF"/>
    <w:rsid w:val="008B2DA1"/>
    <w:rsid w:val="008C7C0D"/>
    <w:rsid w:val="008D3601"/>
    <w:rsid w:val="008D537E"/>
    <w:rsid w:val="008E1845"/>
    <w:rsid w:val="008E3C48"/>
    <w:rsid w:val="008E4EE3"/>
    <w:rsid w:val="008F268C"/>
    <w:rsid w:val="009228EE"/>
    <w:rsid w:val="00926586"/>
    <w:rsid w:val="00937B92"/>
    <w:rsid w:val="009440F1"/>
    <w:rsid w:val="0094513E"/>
    <w:rsid w:val="00950CA5"/>
    <w:rsid w:val="00952ACE"/>
    <w:rsid w:val="00954505"/>
    <w:rsid w:val="00957958"/>
    <w:rsid w:val="0097149D"/>
    <w:rsid w:val="0098681E"/>
    <w:rsid w:val="0099124F"/>
    <w:rsid w:val="00997CAE"/>
    <w:rsid w:val="009A07C5"/>
    <w:rsid w:val="009A522A"/>
    <w:rsid w:val="009B3B46"/>
    <w:rsid w:val="009B4593"/>
    <w:rsid w:val="009B4ADD"/>
    <w:rsid w:val="009C3DE7"/>
    <w:rsid w:val="009D2C97"/>
    <w:rsid w:val="009E0A45"/>
    <w:rsid w:val="009E0C76"/>
    <w:rsid w:val="009E2557"/>
    <w:rsid w:val="009F15F1"/>
    <w:rsid w:val="009F250C"/>
    <w:rsid w:val="009F3EFC"/>
    <w:rsid w:val="009F7BD1"/>
    <w:rsid w:val="00A024B6"/>
    <w:rsid w:val="00A22C5E"/>
    <w:rsid w:val="00A30101"/>
    <w:rsid w:val="00A31E66"/>
    <w:rsid w:val="00A3740C"/>
    <w:rsid w:val="00A37D0C"/>
    <w:rsid w:val="00A401A9"/>
    <w:rsid w:val="00A4035C"/>
    <w:rsid w:val="00A420FC"/>
    <w:rsid w:val="00A57BDA"/>
    <w:rsid w:val="00A62ED1"/>
    <w:rsid w:val="00A75427"/>
    <w:rsid w:val="00A76C65"/>
    <w:rsid w:val="00A773BC"/>
    <w:rsid w:val="00A81006"/>
    <w:rsid w:val="00A81B10"/>
    <w:rsid w:val="00A832B7"/>
    <w:rsid w:val="00A84787"/>
    <w:rsid w:val="00A864A6"/>
    <w:rsid w:val="00AA0177"/>
    <w:rsid w:val="00AA0B26"/>
    <w:rsid w:val="00AA426E"/>
    <w:rsid w:val="00AB0FBB"/>
    <w:rsid w:val="00AB5A9B"/>
    <w:rsid w:val="00AB72E0"/>
    <w:rsid w:val="00AC44E1"/>
    <w:rsid w:val="00AD6776"/>
    <w:rsid w:val="00AF61C6"/>
    <w:rsid w:val="00B02AE8"/>
    <w:rsid w:val="00B03F9E"/>
    <w:rsid w:val="00B043E1"/>
    <w:rsid w:val="00B104F9"/>
    <w:rsid w:val="00B10883"/>
    <w:rsid w:val="00B113B2"/>
    <w:rsid w:val="00B2128A"/>
    <w:rsid w:val="00B248B0"/>
    <w:rsid w:val="00B31D06"/>
    <w:rsid w:val="00B41D0F"/>
    <w:rsid w:val="00B42419"/>
    <w:rsid w:val="00B47CEA"/>
    <w:rsid w:val="00B8263A"/>
    <w:rsid w:val="00B8309E"/>
    <w:rsid w:val="00B8730F"/>
    <w:rsid w:val="00B87513"/>
    <w:rsid w:val="00B92070"/>
    <w:rsid w:val="00B9384B"/>
    <w:rsid w:val="00B94C5F"/>
    <w:rsid w:val="00BA3F3E"/>
    <w:rsid w:val="00BA5A31"/>
    <w:rsid w:val="00BA5FCA"/>
    <w:rsid w:val="00BB02FF"/>
    <w:rsid w:val="00BB0514"/>
    <w:rsid w:val="00BB481D"/>
    <w:rsid w:val="00BC6A02"/>
    <w:rsid w:val="00BD0E52"/>
    <w:rsid w:val="00BE1922"/>
    <w:rsid w:val="00BF285B"/>
    <w:rsid w:val="00C078D8"/>
    <w:rsid w:val="00C07D94"/>
    <w:rsid w:val="00C15958"/>
    <w:rsid w:val="00C16958"/>
    <w:rsid w:val="00C300B8"/>
    <w:rsid w:val="00C30C63"/>
    <w:rsid w:val="00C32067"/>
    <w:rsid w:val="00C36D9D"/>
    <w:rsid w:val="00C506B6"/>
    <w:rsid w:val="00C52E67"/>
    <w:rsid w:val="00C60B19"/>
    <w:rsid w:val="00C66978"/>
    <w:rsid w:val="00C77712"/>
    <w:rsid w:val="00C8659D"/>
    <w:rsid w:val="00C87A92"/>
    <w:rsid w:val="00C91277"/>
    <w:rsid w:val="00C921AB"/>
    <w:rsid w:val="00C9672F"/>
    <w:rsid w:val="00CA4746"/>
    <w:rsid w:val="00CB3620"/>
    <w:rsid w:val="00CB78BD"/>
    <w:rsid w:val="00CC2ADC"/>
    <w:rsid w:val="00CE58C0"/>
    <w:rsid w:val="00D00519"/>
    <w:rsid w:val="00D00A8E"/>
    <w:rsid w:val="00D12333"/>
    <w:rsid w:val="00D31A87"/>
    <w:rsid w:val="00D412B6"/>
    <w:rsid w:val="00D4156C"/>
    <w:rsid w:val="00D461E1"/>
    <w:rsid w:val="00D50CAB"/>
    <w:rsid w:val="00D56087"/>
    <w:rsid w:val="00D74623"/>
    <w:rsid w:val="00D838F6"/>
    <w:rsid w:val="00D8397F"/>
    <w:rsid w:val="00D86D8D"/>
    <w:rsid w:val="00D95B6D"/>
    <w:rsid w:val="00DA2959"/>
    <w:rsid w:val="00DB36E6"/>
    <w:rsid w:val="00DB4EBE"/>
    <w:rsid w:val="00DC4055"/>
    <w:rsid w:val="00DC7620"/>
    <w:rsid w:val="00DD21D4"/>
    <w:rsid w:val="00DD3427"/>
    <w:rsid w:val="00DE0B54"/>
    <w:rsid w:val="00DF1DE0"/>
    <w:rsid w:val="00DF5A11"/>
    <w:rsid w:val="00DF6F39"/>
    <w:rsid w:val="00E04209"/>
    <w:rsid w:val="00E06092"/>
    <w:rsid w:val="00E060F6"/>
    <w:rsid w:val="00E0701D"/>
    <w:rsid w:val="00E155B4"/>
    <w:rsid w:val="00E23E02"/>
    <w:rsid w:val="00E3342B"/>
    <w:rsid w:val="00E36DD6"/>
    <w:rsid w:val="00E42A34"/>
    <w:rsid w:val="00E43AB8"/>
    <w:rsid w:val="00E4412D"/>
    <w:rsid w:val="00E44C8B"/>
    <w:rsid w:val="00E478AE"/>
    <w:rsid w:val="00E51A88"/>
    <w:rsid w:val="00E57A1D"/>
    <w:rsid w:val="00E72A6D"/>
    <w:rsid w:val="00E77A17"/>
    <w:rsid w:val="00E800D6"/>
    <w:rsid w:val="00E857E7"/>
    <w:rsid w:val="00E91F49"/>
    <w:rsid w:val="00E9277B"/>
    <w:rsid w:val="00E92B40"/>
    <w:rsid w:val="00E974A1"/>
    <w:rsid w:val="00EA3A8F"/>
    <w:rsid w:val="00EB2219"/>
    <w:rsid w:val="00EC4862"/>
    <w:rsid w:val="00ED1D2E"/>
    <w:rsid w:val="00ED6763"/>
    <w:rsid w:val="00EE604E"/>
    <w:rsid w:val="00EE72A1"/>
    <w:rsid w:val="00EF3CC5"/>
    <w:rsid w:val="00F0197E"/>
    <w:rsid w:val="00F14E20"/>
    <w:rsid w:val="00F1577C"/>
    <w:rsid w:val="00F17FAB"/>
    <w:rsid w:val="00F230C5"/>
    <w:rsid w:val="00F3470D"/>
    <w:rsid w:val="00F40EAC"/>
    <w:rsid w:val="00F43314"/>
    <w:rsid w:val="00F505B2"/>
    <w:rsid w:val="00F73A0F"/>
    <w:rsid w:val="00F742B6"/>
    <w:rsid w:val="00F825FC"/>
    <w:rsid w:val="00F874F4"/>
    <w:rsid w:val="00F9071E"/>
    <w:rsid w:val="00F938F7"/>
    <w:rsid w:val="00F9474F"/>
    <w:rsid w:val="00F9547A"/>
    <w:rsid w:val="00F9583E"/>
    <w:rsid w:val="00FA0E59"/>
    <w:rsid w:val="00FA165F"/>
    <w:rsid w:val="00FA53FA"/>
    <w:rsid w:val="00FB19CF"/>
    <w:rsid w:val="00FB5D17"/>
    <w:rsid w:val="00FD11DC"/>
    <w:rsid w:val="00FD19F9"/>
    <w:rsid w:val="00FE159C"/>
    <w:rsid w:val="00FF5D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4A263"/>
  <w15:docId w15:val="{44A0F830-4034-4D54-8ED3-B98629A3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C5"/>
  </w:style>
  <w:style w:type="paragraph" w:styleId="Ttulo1">
    <w:name w:val="heading 1"/>
    <w:basedOn w:val="Normal"/>
    <w:next w:val="Normal"/>
    <w:link w:val="Ttulo1Char"/>
    <w:uiPriority w:val="9"/>
    <w:qFormat/>
    <w:rsid w:val="000D66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0D66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0D66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 w:type="character" w:styleId="Forte">
    <w:name w:val="Strong"/>
    <w:basedOn w:val="Fontepargpadro"/>
    <w:uiPriority w:val="22"/>
    <w:qFormat/>
    <w:rsid w:val="006F479B"/>
    <w:rPr>
      <w:b/>
      <w:bCs/>
    </w:rPr>
  </w:style>
  <w:style w:type="paragraph" w:styleId="NormalWeb">
    <w:name w:val="Normal (Web)"/>
    <w:basedOn w:val="Normal"/>
    <w:uiPriority w:val="99"/>
    <w:semiHidden/>
    <w:unhideWhenUsed/>
    <w:rsid w:val="00BB02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D95B6D"/>
  </w:style>
  <w:style w:type="character" w:customStyle="1" w:styleId="Ttulo1Char">
    <w:name w:val="Título 1 Char"/>
    <w:basedOn w:val="Fontepargpadro"/>
    <w:link w:val="Ttulo1"/>
    <w:uiPriority w:val="9"/>
    <w:rsid w:val="000D66DD"/>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0D66DD"/>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0D66DD"/>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unhideWhenUsed/>
    <w:qFormat/>
    <w:rsid w:val="000D66DD"/>
    <w:pPr>
      <w:outlineLvl w:val="9"/>
    </w:pPr>
    <w:rPr>
      <w:lang w:eastAsia="pt-BR"/>
    </w:rPr>
  </w:style>
  <w:style w:type="paragraph" w:styleId="Sumrio1">
    <w:name w:val="toc 1"/>
    <w:basedOn w:val="Normal"/>
    <w:next w:val="Normal"/>
    <w:autoRedefine/>
    <w:uiPriority w:val="39"/>
    <w:unhideWhenUsed/>
    <w:rsid w:val="000D66DD"/>
    <w:pPr>
      <w:spacing w:after="100"/>
    </w:pPr>
  </w:style>
  <w:style w:type="paragraph" w:styleId="Sumrio2">
    <w:name w:val="toc 2"/>
    <w:basedOn w:val="Normal"/>
    <w:next w:val="Normal"/>
    <w:autoRedefine/>
    <w:uiPriority w:val="39"/>
    <w:unhideWhenUsed/>
    <w:rsid w:val="000D66DD"/>
    <w:pPr>
      <w:spacing w:after="100"/>
      <w:ind w:left="220"/>
    </w:pPr>
  </w:style>
  <w:style w:type="paragraph" w:styleId="Sumrio3">
    <w:name w:val="toc 3"/>
    <w:basedOn w:val="Normal"/>
    <w:next w:val="Normal"/>
    <w:autoRedefine/>
    <w:uiPriority w:val="39"/>
    <w:unhideWhenUsed/>
    <w:rsid w:val="000D66DD"/>
    <w:pPr>
      <w:spacing w:after="100"/>
      <w:ind w:left="440"/>
    </w:pPr>
  </w:style>
  <w:style w:type="character" w:styleId="Hyperlink">
    <w:name w:val="Hyperlink"/>
    <w:basedOn w:val="Fontepargpadro"/>
    <w:uiPriority w:val="99"/>
    <w:unhideWhenUsed/>
    <w:rsid w:val="000D66DD"/>
    <w:rPr>
      <w:color w:val="0563C1" w:themeColor="hyperlink"/>
      <w:u w:val="single"/>
    </w:rPr>
  </w:style>
  <w:style w:type="paragraph" w:styleId="Legenda">
    <w:name w:val="caption"/>
    <w:basedOn w:val="Normal"/>
    <w:next w:val="Normal"/>
    <w:uiPriority w:val="35"/>
    <w:unhideWhenUsed/>
    <w:qFormat/>
    <w:rsid w:val="00EC4862"/>
    <w:pPr>
      <w:spacing w:after="200" w:line="240" w:lineRule="auto"/>
    </w:pPr>
    <w:rPr>
      <w:i/>
      <w:iCs/>
      <w:color w:val="44546A" w:themeColor="text2"/>
      <w:sz w:val="18"/>
      <w:szCs w:val="18"/>
    </w:rPr>
  </w:style>
  <w:style w:type="paragraph" w:styleId="ndicedeilustraes">
    <w:name w:val="table of figures"/>
    <w:basedOn w:val="Normal"/>
    <w:next w:val="Normal"/>
    <w:uiPriority w:val="99"/>
    <w:unhideWhenUsed/>
    <w:rsid w:val="006A22E9"/>
    <w:pPr>
      <w:spacing w:after="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 w:id="19804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C508-292F-4D90-8F7F-89474988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10</Pages>
  <Words>2471</Words>
  <Characters>13345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Catarina Demoner Diniz</cp:lastModifiedBy>
  <cp:revision>268</cp:revision>
  <cp:lastPrinted>2019-06-04T16:48:00Z</cp:lastPrinted>
  <dcterms:created xsi:type="dcterms:W3CDTF">2018-03-21T13:18:00Z</dcterms:created>
  <dcterms:modified xsi:type="dcterms:W3CDTF">2019-06-10T12:11:00Z</dcterms:modified>
</cp:coreProperties>
</file>